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C13B" w14:textId="77777777" w:rsidR="00041101" w:rsidRPr="00253E39" w:rsidRDefault="00041101" w:rsidP="00253E39">
      <w:pPr>
        <w:autoSpaceDE w:val="0"/>
        <w:autoSpaceDN w:val="0"/>
        <w:adjustRightInd w:val="0"/>
        <w:snapToGrid w:val="0"/>
        <w:spacing w:after="0" w:line="240" w:lineRule="auto"/>
        <w:jc w:val="center"/>
        <w:rPr>
          <w:rFonts w:ascii="Times New Roman" w:hAnsi="Times New Roman" w:cs="Times New Roman"/>
          <w:b/>
          <w:bCs/>
          <w:lang w:val="en-AU" w:eastAsia="en-NZ"/>
        </w:rPr>
      </w:pPr>
    </w:p>
    <w:p w14:paraId="6474D95C" w14:textId="77777777" w:rsidR="00041101" w:rsidRPr="00253E39" w:rsidRDefault="00041101" w:rsidP="00253E39">
      <w:pPr>
        <w:autoSpaceDE w:val="0"/>
        <w:autoSpaceDN w:val="0"/>
        <w:adjustRightInd w:val="0"/>
        <w:snapToGrid w:val="0"/>
        <w:spacing w:after="0" w:line="240" w:lineRule="auto"/>
        <w:jc w:val="center"/>
        <w:rPr>
          <w:rFonts w:ascii="Times New Roman" w:hAnsi="Times New Roman" w:cs="Times New Roman"/>
          <w:b/>
          <w:bCs/>
          <w:lang w:val="en-AU" w:eastAsia="en-NZ"/>
        </w:rPr>
      </w:pPr>
    </w:p>
    <w:p w14:paraId="71C391F5" w14:textId="77777777" w:rsidR="00041101" w:rsidRPr="00253E39" w:rsidRDefault="00041101" w:rsidP="00253E39">
      <w:pPr>
        <w:autoSpaceDE w:val="0"/>
        <w:autoSpaceDN w:val="0"/>
        <w:adjustRightInd w:val="0"/>
        <w:snapToGrid w:val="0"/>
        <w:spacing w:after="0" w:line="240" w:lineRule="auto"/>
        <w:jc w:val="center"/>
        <w:rPr>
          <w:rFonts w:ascii="Times New Roman" w:hAnsi="Times New Roman" w:cs="Times New Roman"/>
          <w:b/>
          <w:bCs/>
          <w:lang w:val="en-AU" w:eastAsia="en-NZ"/>
        </w:rPr>
      </w:pPr>
      <w:r w:rsidRPr="00253E39">
        <w:rPr>
          <w:rFonts w:ascii="Times New Roman" w:hAnsi="Times New Roman" w:cs="Times New Roman"/>
          <w:noProof/>
          <w:lang w:eastAsia="zh-CN" w:bidi="mn-Mong-CN"/>
        </w:rPr>
        <w:drawing>
          <wp:inline distT="0" distB="0" distL="0" distR="0" wp14:anchorId="3BD71571" wp14:editId="455E6312">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76C367A6" w14:textId="77777777" w:rsidR="00041101" w:rsidRPr="00253E39" w:rsidRDefault="00041101" w:rsidP="00253E39">
      <w:pPr>
        <w:autoSpaceDE w:val="0"/>
        <w:autoSpaceDN w:val="0"/>
        <w:adjustRightInd w:val="0"/>
        <w:snapToGrid w:val="0"/>
        <w:spacing w:after="0" w:line="240" w:lineRule="auto"/>
        <w:jc w:val="center"/>
        <w:rPr>
          <w:rFonts w:ascii="Times New Roman" w:hAnsi="Times New Roman" w:cs="Times New Roman"/>
          <w:b/>
          <w:bCs/>
          <w:lang w:val="en-AU" w:eastAsia="en-NZ"/>
        </w:rPr>
      </w:pPr>
    </w:p>
    <w:p w14:paraId="416C510D" w14:textId="77777777" w:rsidR="00041101" w:rsidRPr="00253E39" w:rsidRDefault="00041101" w:rsidP="00253E39">
      <w:pPr>
        <w:autoSpaceDE w:val="0"/>
        <w:autoSpaceDN w:val="0"/>
        <w:adjustRightInd w:val="0"/>
        <w:snapToGrid w:val="0"/>
        <w:spacing w:after="0" w:line="240" w:lineRule="auto"/>
        <w:jc w:val="center"/>
        <w:rPr>
          <w:rFonts w:ascii="Times New Roman" w:hAnsi="Times New Roman" w:cs="Times New Roman"/>
          <w:b/>
          <w:bCs/>
          <w:lang w:val="en-AU" w:eastAsia="en-NZ"/>
        </w:rPr>
      </w:pPr>
    </w:p>
    <w:p w14:paraId="736E4267"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r w:rsidRPr="00253E39">
        <w:rPr>
          <w:rFonts w:ascii="Times New Roman" w:hAnsi="Times New Roman" w:cs="Times New Roman"/>
          <w:b/>
          <w:lang w:val="en-NZ"/>
        </w:rPr>
        <w:t xml:space="preserve">The Commission for the Conservation and Management of </w:t>
      </w:r>
    </w:p>
    <w:p w14:paraId="67F64BB9"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r w:rsidRPr="00253E39">
        <w:rPr>
          <w:rFonts w:ascii="Times New Roman" w:hAnsi="Times New Roman" w:cs="Times New Roman"/>
          <w:b/>
          <w:lang w:val="en-NZ"/>
        </w:rPr>
        <w:t xml:space="preserve">Highly Migratory Fish Stocks in the Western and Central Pacific Ocean </w:t>
      </w:r>
    </w:p>
    <w:p w14:paraId="6EC3DE08"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p>
    <w:p w14:paraId="6B29D356"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p>
    <w:p w14:paraId="3E9D82F4"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p>
    <w:p w14:paraId="3BB59618" w14:textId="77777777" w:rsidR="00041101" w:rsidRPr="00253E39" w:rsidRDefault="00041101" w:rsidP="00253E39">
      <w:pPr>
        <w:adjustRightInd w:val="0"/>
        <w:snapToGrid w:val="0"/>
        <w:spacing w:after="0" w:line="240" w:lineRule="auto"/>
        <w:jc w:val="center"/>
        <w:rPr>
          <w:rFonts w:ascii="Times New Roman" w:hAnsi="Times New Roman" w:cs="Times New Roman"/>
          <w:b/>
          <w:caps/>
          <w:lang w:val="en-NZ"/>
        </w:rPr>
      </w:pPr>
      <w:r w:rsidRPr="00253E39">
        <w:rPr>
          <w:rFonts w:ascii="Times New Roman" w:hAnsi="Times New Roman" w:cs="Times New Roman"/>
          <w:b/>
          <w:caps/>
          <w:lang w:val="en-NZ"/>
        </w:rPr>
        <w:t>Scientific Committee</w:t>
      </w:r>
    </w:p>
    <w:p w14:paraId="404BED30" w14:textId="77777777" w:rsidR="00041101" w:rsidRPr="00253E39" w:rsidRDefault="00041101" w:rsidP="00253E39">
      <w:pPr>
        <w:adjustRightInd w:val="0"/>
        <w:snapToGrid w:val="0"/>
        <w:spacing w:after="0" w:line="240" w:lineRule="auto"/>
        <w:jc w:val="center"/>
        <w:rPr>
          <w:rFonts w:ascii="Times New Roman" w:hAnsi="Times New Roman" w:cs="Times New Roman"/>
          <w:b/>
          <w:lang w:val="en-NZ"/>
        </w:rPr>
      </w:pPr>
    </w:p>
    <w:p w14:paraId="526A9114" w14:textId="77777777" w:rsidR="00041101" w:rsidRPr="00253E39" w:rsidRDefault="00041101" w:rsidP="00253E39">
      <w:pPr>
        <w:adjustRightInd w:val="0"/>
        <w:snapToGrid w:val="0"/>
        <w:spacing w:after="0" w:line="240" w:lineRule="auto"/>
        <w:jc w:val="center"/>
        <w:rPr>
          <w:rFonts w:ascii="Times New Roman" w:hAnsi="Times New Roman" w:cs="Times New Roman"/>
          <w:b/>
          <w:sz w:val="36"/>
          <w:szCs w:val="36"/>
        </w:rPr>
      </w:pPr>
    </w:p>
    <w:p w14:paraId="6CC71739" w14:textId="5AEC16C0" w:rsidR="004B05DF" w:rsidRPr="00253E39" w:rsidRDefault="00845FD5" w:rsidP="00253E39">
      <w:pPr>
        <w:adjustRightInd w:val="0"/>
        <w:snapToGrid w:val="0"/>
        <w:spacing w:after="0" w:line="240" w:lineRule="auto"/>
        <w:jc w:val="center"/>
        <w:rPr>
          <w:rFonts w:ascii="Times New Roman" w:hAnsi="Times New Roman" w:cs="Times New Roman"/>
          <w:b/>
          <w:sz w:val="28"/>
          <w:szCs w:val="28"/>
        </w:rPr>
      </w:pPr>
      <w:r w:rsidRPr="00253E39">
        <w:rPr>
          <w:rFonts w:ascii="Times New Roman" w:hAnsi="Times New Roman" w:cs="Times New Roman"/>
          <w:b/>
          <w:sz w:val="28"/>
          <w:szCs w:val="28"/>
        </w:rPr>
        <w:t>S</w:t>
      </w:r>
      <w:r w:rsidR="0015000E" w:rsidRPr="00253E39">
        <w:rPr>
          <w:rFonts w:ascii="Times New Roman" w:hAnsi="Times New Roman" w:cs="Times New Roman"/>
          <w:b/>
          <w:sz w:val="28"/>
          <w:szCs w:val="28"/>
        </w:rPr>
        <w:t>outh</w:t>
      </w:r>
      <w:r w:rsidR="001C52E0">
        <w:rPr>
          <w:rFonts w:ascii="Times New Roman" w:hAnsi="Times New Roman" w:cs="Times New Roman"/>
          <w:b/>
          <w:sz w:val="28"/>
          <w:szCs w:val="28"/>
        </w:rPr>
        <w:t>west</w:t>
      </w:r>
      <w:r w:rsidR="0015000E" w:rsidRPr="00253E39">
        <w:rPr>
          <w:rFonts w:ascii="Times New Roman" w:hAnsi="Times New Roman" w:cs="Times New Roman"/>
          <w:b/>
          <w:sz w:val="28"/>
          <w:szCs w:val="28"/>
        </w:rPr>
        <w:t xml:space="preserve"> Pacific Blue Shark</w:t>
      </w:r>
      <w:r w:rsidR="007A432D" w:rsidRPr="00253E39">
        <w:rPr>
          <w:rFonts w:ascii="Times New Roman" w:hAnsi="Times New Roman" w:cs="Times New Roman"/>
          <w:b/>
          <w:sz w:val="28"/>
          <w:szCs w:val="28"/>
        </w:rPr>
        <w:t xml:space="preserve"> </w:t>
      </w:r>
      <w:r w:rsidR="004B05DF" w:rsidRPr="00253E39">
        <w:rPr>
          <w:rFonts w:ascii="Times New Roman" w:hAnsi="Times New Roman" w:cs="Times New Roman"/>
          <w:b/>
          <w:sz w:val="28"/>
          <w:szCs w:val="28"/>
        </w:rPr>
        <w:t>(</w:t>
      </w:r>
      <w:r w:rsidR="0015000E" w:rsidRPr="00253E39">
        <w:rPr>
          <w:rFonts w:ascii="Times New Roman" w:hAnsi="Times New Roman" w:cs="Times New Roman"/>
          <w:b/>
          <w:i/>
          <w:iCs/>
          <w:sz w:val="28"/>
          <w:szCs w:val="28"/>
        </w:rPr>
        <w:t>Prionace glauca</w:t>
      </w:r>
      <w:r w:rsidR="0015000E" w:rsidRPr="00253E39">
        <w:rPr>
          <w:rFonts w:ascii="Times New Roman" w:hAnsi="Times New Roman" w:cs="Times New Roman"/>
          <w:b/>
          <w:sz w:val="28"/>
          <w:szCs w:val="28"/>
        </w:rPr>
        <w:t>)</w:t>
      </w:r>
    </w:p>
    <w:p w14:paraId="61A33908" w14:textId="77777777" w:rsidR="00041101" w:rsidRPr="00253E39" w:rsidRDefault="00041101" w:rsidP="00253E39">
      <w:pPr>
        <w:adjustRightInd w:val="0"/>
        <w:snapToGrid w:val="0"/>
        <w:spacing w:after="0" w:line="240" w:lineRule="auto"/>
        <w:jc w:val="center"/>
        <w:rPr>
          <w:rFonts w:ascii="Times New Roman" w:hAnsi="Times New Roman" w:cs="Times New Roman"/>
          <w:b/>
          <w:sz w:val="28"/>
          <w:szCs w:val="28"/>
        </w:rPr>
      </w:pPr>
    </w:p>
    <w:p w14:paraId="2CD2E3D0" w14:textId="32987C9E" w:rsidR="004B05DF" w:rsidRPr="00253E39" w:rsidRDefault="004B05DF" w:rsidP="00253E39">
      <w:pPr>
        <w:adjustRightInd w:val="0"/>
        <w:snapToGrid w:val="0"/>
        <w:spacing w:after="0" w:line="240" w:lineRule="auto"/>
        <w:jc w:val="center"/>
        <w:rPr>
          <w:rFonts w:ascii="Times New Roman" w:hAnsi="Times New Roman" w:cs="Times New Roman"/>
          <w:caps/>
        </w:rPr>
      </w:pPr>
      <w:r w:rsidRPr="00253E39">
        <w:rPr>
          <w:rFonts w:ascii="Times New Roman" w:hAnsi="Times New Roman" w:cs="Times New Roman"/>
          <w:caps/>
        </w:rPr>
        <w:t xml:space="preserve">Stock Status </w:t>
      </w:r>
      <w:r w:rsidR="00041101" w:rsidRPr="00253E39">
        <w:rPr>
          <w:rFonts w:ascii="Times New Roman" w:hAnsi="Times New Roman" w:cs="Times New Roman"/>
          <w:caps/>
        </w:rPr>
        <w:t>AND</w:t>
      </w:r>
      <w:r w:rsidRPr="00253E39">
        <w:rPr>
          <w:rFonts w:ascii="Times New Roman" w:hAnsi="Times New Roman" w:cs="Times New Roman"/>
          <w:caps/>
        </w:rPr>
        <w:t xml:space="preserve"> Management Advice</w:t>
      </w:r>
    </w:p>
    <w:p w14:paraId="1EF18D2C" w14:textId="33C19E50" w:rsidR="00041101" w:rsidRPr="00253E39" w:rsidRDefault="00041101" w:rsidP="00253E39">
      <w:pPr>
        <w:adjustRightInd w:val="0"/>
        <w:snapToGrid w:val="0"/>
        <w:spacing w:after="0" w:line="240" w:lineRule="auto"/>
        <w:jc w:val="center"/>
        <w:rPr>
          <w:rFonts w:ascii="Times New Roman" w:hAnsi="Times New Roman" w:cs="Times New Roman"/>
          <w:b/>
        </w:rPr>
      </w:pPr>
    </w:p>
    <w:p w14:paraId="25E327EC" w14:textId="167F5FCE" w:rsidR="00041101" w:rsidRPr="00253E39" w:rsidRDefault="00041101" w:rsidP="00253E39">
      <w:pPr>
        <w:adjustRightInd w:val="0"/>
        <w:snapToGrid w:val="0"/>
        <w:spacing w:after="0" w:line="240" w:lineRule="auto"/>
        <w:jc w:val="center"/>
        <w:rPr>
          <w:rFonts w:ascii="Times New Roman" w:hAnsi="Times New Roman" w:cs="Times New Roman"/>
          <w:b/>
        </w:rPr>
      </w:pPr>
    </w:p>
    <w:p w14:paraId="2F8B17DC" w14:textId="061F2B57" w:rsidR="00041101" w:rsidRPr="00253E39" w:rsidRDefault="00041101" w:rsidP="00253E39">
      <w:pPr>
        <w:adjustRightInd w:val="0"/>
        <w:snapToGrid w:val="0"/>
        <w:spacing w:after="0" w:line="240" w:lineRule="auto"/>
        <w:jc w:val="center"/>
        <w:rPr>
          <w:rFonts w:ascii="Times New Roman" w:hAnsi="Times New Roman" w:cs="Times New Roman"/>
          <w:b/>
        </w:rPr>
      </w:pPr>
    </w:p>
    <w:p w14:paraId="74CE68F7" w14:textId="2D9DCD0F" w:rsidR="00041101" w:rsidRPr="00253E39" w:rsidRDefault="00041101" w:rsidP="00253E39">
      <w:pPr>
        <w:adjustRightInd w:val="0"/>
        <w:snapToGrid w:val="0"/>
        <w:spacing w:after="0" w:line="240" w:lineRule="auto"/>
        <w:jc w:val="center"/>
        <w:rPr>
          <w:rFonts w:ascii="Times New Roman" w:hAnsi="Times New Roman" w:cs="Times New Roman"/>
          <w:b/>
        </w:rPr>
      </w:pPr>
    </w:p>
    <w:p w14:paraId="19D07FB5" w14:textId="6EC012A0" w:rsidR="00041101" w:rsidRPr="00253E39" w:rsidRDefault="00041101" w:rsidP="00253E39">
      <w:pPr>
        <w:adjustRightInd w:val="0"/>
        <w:snapToGrid w:val="0"/>
        <w:spacing w:after="0" w:line="240" w:lineRule="auto"/>
        <w:jc w:val="center"/>
        <w:rPr>
          <w:rFonts w:ascii="Times New Roman" w:hAnsi="Times New Roman" w:cs="Times New Roman"/>
          <w:b/>
        </w:rPr>
      </w:pPr>
    </w:p>
    <w:p w14:paraId="59977617" w14:textId="229A34D6" w:rsidR="00041101" w:rsidRPr="00253E39" w:rsidRDefault="00041101" w:rsidP="00253E39">
      <w:pPr>
        <w:adjustRightInd w:val="0"/>
        <w:snapToGrid w:val="0"/>
        <w:spacing w:after="0" w:line="240" w:lineRule="auto"/>
        <w:jc w:val="center"/>
        <w:rPr>
          <w:rFonts w:ascii="Times New Roman" w:hAnsi="Times New Roman" w:cs="Times New Roman"/>
          <w:b/>
        </w:rPr>
      </w:pPr>
    </w:p>
    <w:p w14:paraId="10E9BF7A" w14:textId="7263549A" w:rsidR="00041101" w:rsidRPr="00253E39" w:rsidRDefault="00041101" w:rsidP="00253E39">
      <w:pPr>
        <w:adjustRightInd w:val="0"/>
        <w:snapToGrid w:val="0"/>
        <w:spacing w:after="0" w:line="240" w:lineRule="auto"/>
        <w:jc w:val="center"/>
        <w:rPr>
          <w:rFonts w:ascii="Times New Roman" w:hAnsi="Times New Roman" w:cs="Times New Roman"/>
          <w:b/>
        </w:rPr>
      </w:pPr>
    </w:p>
    <w:p w14:paraId="67B19B5E" w14:textId="23A25611" w:rsidR="00041101" w:rsidRPr="00253E39" w:rsidRDefault="00041101" w:rsidP="00253E39">
      <w:pPr>
        <w:adjustRightInd w:val="0"/>
        <w:snapToGrid w:val="0"/>
        <w:spacing w:after="0" w:line="240" w:lineRule="auto"/>
        <w:jc w:val="center"/>
        <w:rPr>
          <w:rFonts w:ascii="Times New Roman" w:hAnsi="Times New Roman" w:cs="Times New Roman"/>
          <w:b/>
        </w:rPr>
      </w:pPr>
    </w:p>
    <w:p w14:paraId="25CC99C0" w14:textId="353330D8" w:rsidR="00041101" w:rsidRPr="00253E39" w:rsidRDefault="00041101" w:rsidP="00253E39">
      <w:pPr>
        <w:adjustRightInd w:val="0"/>
        <w:snapToGrid w:val="0"/>
        <w:spacing w:after="0" w:line="240" w:lineRule="auto"/>
        <w:jc w:val="center"/>
        <w:rPr>
          <w:rFonts w:ascii="Times New Roman" w:hAnsi="Times New Roman" w:cs="Times New Roman"/>
          <w:b/>
        </w:rPr>
      </w:pPr>
    </w:p>
    <w:p w14:paraId="07E59CFF" w14:textId="0EC4A3E7" w:rsidR="00041101" w:rsidRPr="00253E39" w:rsidRDefault="00041101" w:rsidP="00253E39">
      <w:pPr>
        <w:adjustRightInd w:val="0"/>
        <w:snapToGrid w:val="0"/>
        <w:spacing w:after="0" w:line="240" w:lineRule="auto"/>
        <w:jc w:val="center"/>
        <w:rPr>
          <w:rFonts w:ascii="Times New Roman" w:hAnsi="Times New Roman" w:cs="Times New Roman"/>
          <w:b/>
        </w:rPr>
      </w:pPr>
    </w:p>
    <w:sdt>
      <w:sdtPr>
        <w:rPr>
          <w:rFonts w:ascii="Times New Roman" w:eastAsiaTheme="minorHAnsi" w:hAnsi="Times New Roman" w:cs="Times New Roman"/>
          <w:b/>
          <w:bCs/>
          <w:color w:val="auto"/>
          <w:sz w:val="28"/>
          <w:szCs w:val="28"/>
        </w:rPr>
        <w:id w:val="-1203621396"/>
        <w:docPartObj>
          <w:docPartGallery w:val="Table of Contents"/>
          <w:docPartUnique/>
        </w:docPartObj>
      </w:sdtPr>
      <w:sdtEndPr>
        <w:rPr>
          <w:noProof/>
          <w:sz w:val="22"/>
          <w:szCs w:val="22"/>
        </w:rPr>
      </w:sdtEndPr>
      <w:sdtContent>
        <w:p w14:paraId="414E60BF" w14:textId="77777777" w:rsidR="004B05DF" w:rsidRPr="00253E39" w:rsidRDefault="004B05DF" w:rsidP="00253E39">
          <w:pPr>
            <w:pStyle w:val="TOCHeading"/>
            <w:adjustRightInd w:val="0"/>
            <w:snapToGrid w:val="0"/>
            <w:spacing w:before="0" w:after="240" w:line="240" w:lineRule="auto"/>
            <w:rPr>
              <w:rFonts w:ascii="Times New Roman" w:hAnsi="Times New Roman" w:cs="Times New Roman"/>
              <w:b/>
              <w:bCs/>
              <w:sz w:val="28"/>
              <w:szCs w:val="28"/>
            </w:rPr>
          </w:pPr>
          <w:r w:rsidRPr="00253E39">
            <w:rPr>
              <w:rFonts w:ascii="Times New Roman" w:hAnsi="Times New Roman" w:cs="Times New Roman"/>
              <w:b/>
              <w:bCs/>
              <w:sz w:val="28"/>
              <w:szCs w:val="28"/>
            </w:rPr>
            <w:t>Contents</w:t>
          </w:r>
        </w:p>
        <w:p w14:paraId="50799FC7" w14:textId="28EDAB38" w:rsidR="00A14265" w:rsidRDefault="004B05DF">
          <w:pPr>
            <w:pStyle w:val="TOC1"/>
            <w:rPr>
              <w:rFonts w:eastAsiaTheme="minorEastAsia"/>
              <w:noProof/>
            </w:rPr>
          </w:pPr>
          <w:r w:rsidRPr="00253E39">
            <w:fldChar w:fldCharType="begin"/>
          </w:r>
          <w:r w:rsidRPr="00253E39">
            <w:instrText xml:space="preserve"> TOC \o "1-3" \h \z \u </w:instrText>
          </w:r>
          <w:r w:rsidRPr="00253E39">
            <w:fldChar w:fldCharType="separate"/>
          </w:r>
          <w:hyperlink w:anchor="_Toc124762108" w:history="1">
            <w:r w:rsidR="00A14265" w:rsidRPr="00D67D86">
              <w:rPr>
                <w:rStyle w:val="Hyperlink"/>
                <w:rFonts w:ascii="Times New Roman" w:hAnsi="Times New Roman" w:cs="Times New Roman"/>
                <w:b/>
                <w:bCs/>
                <w:noProof/>
              </w:rPr>
              <w:t>SC18 2022 (FURTHER STOCK ASSESSMENT ANALYSIS )</w:t>
            </w:r>
            <w:r w:rsidR="00A14265">
              <w:rPr>
                <w:noProof/>
                <w:webHidden/>
              </w:rPr>
              <w:tab/>
            </w:r>
            <w:r w:rsidR="00A14265">
              <w:rPr>
                <w:noProof/>
                <w:webHidden/>
              </w:rPr>
              <w:fldChar w:fldCharType="begin"/>
            </w:r>
            <w:r w:rsidR="00A14265">
              <w:rPr>
                <w:noProof/>
                <w:webHidden/>
              </w:rPr>
              <w:instrText xml:space="preserve"> PAGEREF _Toc124762108 \h </w:instrText>
            </w:r>
            <w:r w:rsidR="00A14265">
              <w:rPr>
                <w:noProof/>
                <w:webHidden/>
              </w:rPr>
            </w:r>
            <w:r w:rsidR="00A14265">
              <w:rPr>
                <w:noProof/>
                <w:webHidden/>
              </w:rPr>
              <w:fldChar w:fldCharType="separate"/>
            </w:r>
            <w:r w:rsidR="00A14265">
              <w:rPr>
                <w:noProof/>
                <w:webHidden/>
              </w:rPr>
              <w:t>2</w:t>
            </w:r>
            <w:r w:rsidR="00A14265">
              <w:rPr>
                <w:noProof/>
                <w:webHidden/>
              </w:rPr>
              <w:fldChar w:fldCharType="end"/>
            </w:r>
          </w:hyperlink>
        </w:p>
        <w:p w14:paraId="64F380BD" w14:textId="2F056077" w:rsidR="00A14265" w:rsidRDefault="00A14265">
          <w:pPr>
            <w:pStyle w:val="TOC1"/>
            <w:rPr>
              <w:rFonts w:eastAsiaTheme="minorEastAsia"/>
              <w:noProof/>
            </w:rPr>
          </w:pPr>
          <w:hyperlink w:anchor="_Toc124762109" w:history="1">
            <w:r w:rsidRPr="00D67D86">
              <w:rPr>
                <w:rStyle w:val="Hyperlink"/>
                <w:rFonts w:ascii="Times New Roman" w:hAnsi="Times New Roman" w:cs="Times New Roman"/>
                <w:b/>
                <w:bCs/>
                <w:noProof/>
              </w:rPr>
              <w:t>SC17 2021 (STOCK ASSESSMENT CONDUCTED)</w:t>
            </w:r>
            <w:r>
              <w:rPr>
                <w:noProof/>
                <w:webHidden/>
              </w:rPr>
              <w:tab/>
            </w:r>
            <w:r>
              <w:rPr>
                <w:noProof/>
                <w:webHidden/>
              </w:rPr>
              <w:fldChar w:fldCharType="begin"/>
            </w:r>
            <w:r>
              <w:rPr>
                <w:noProof/>
                <w:webHidden/>
              </w:rPr>
              <w:instrText xml:space="preserve"> PAGEREF _Toc124762109 \h </w:instrText>
            </w:r>
            <w:r>
              <w:rPr>
                <w:noProof/>
                <w:webHidden/>
              </w:rPr>
            </w:r>
            <w:r>
              <w:rPr>
                <w:noProof/>
                <w:webHidden/>
              </w:rPr>
              <w:fldChar w:fldCharType="separate"/>
            </w:r>
            <w:r>
              <w:rPr>
                <w:noProof/>
                <w:webHidden/>
              </w:rPr>
              <w:t>8</w:t>
            </w:r>
            <w:r>
              <w:rPr>
                <w:noProof/>
                <w:webHidden/>
              </w:rPr>
              <w:fldChar w:fldCharType="end"/>
            </w:r>
          </w:hyperlink>
        </w:p>
        <w:p w14:paraId="6C9EBEA1" w14:textId="1293E079" w:rsidR="00A14265" w:rsidRDefault="00A14265">
          <w:pPr>
            <w:pStyle w:val="TOC1"/>
            <w:rPr>
              <w:rFonts w:eastAsiaTheme="minorEastAsia"/>
              <w:noProof/>
            </w:rPr>
          </w:pPr>
          <w:hyperlink w:anchor="_Toc124762110" w:history="1">
            <w:r w:rsidRPr="00D67D86">
              <w:rPr>
                <w:rStyle w:val="Hyperlink"/>
                <w:rFonts w:ascii="Times New Roman" w:hAnsi="Times New Roman" w:cs="Times New Roman"/>
                <w:b/>
                <w:bCs/>
                <w:noProof/>
              </w:rPr>
              <w:t>SC13-2017 – SC16-2020 (NO STOCK ASSESSMENTS)</w:t>
            </w:r>
            <w:r>
              <w:rPr>
                <w:noProof/>
                <w:webHidden/>
              </w:rPr>
              <w:tab/>
            </w:r>
            <w:r>
              <w:rPr>
                <w:noProof/>
                <w:webHidden/>
              </w:rPr>
              <w:fldChar w:fldCharType="begin"/>
            </w:r>
            <w:r>
              <w:rPr>
                <w:noProof/>
                <w:webHidden/>
              </w:rPr>
              <w:instrText xml:space="preserve"> PAGEREF _Toc124762110 \h </w:instrText>
            </w:r>
            <w:r>
              <w:rPr>
                <w:noProof/>
                <w:webHidden/>
              </w:rPr>
            </w:r>
            <w:r>
              <w:rPr>
                <w:noProof/>
                <w:webHidden/>
              </w:rPr>
              <w:fldChar w:fldCharType="separate"/>
            </w:r>
            <w:r>
              <w:rPr>
                <w:noProof/>
                <w:webHidden/>
              </w:rPr>
              <w:t>10</w:t>
            </w:r>
            <w:r>
              <w:rPr>
                <w:noProof/>
                <w:webHidden/>
              </w:rPr>
              <w:fldChar w:fldCharType="end"/>
            </w:r>
          </w:hyperlink>
        </w:p>
        <w:p w14:paraId="21041CE1" w14:textId="0C711CC3" w:rsidR="00A14265" w:rsidRDefault="00A14265">
          <w:pPr>
            <w:pStyle w:val="TOC1"/>
            <w:rPr>
              <w:rFonts w:eastAsiaTheme="minorEastAsia"/>
              <w:noProof/>
            </w:rPr>
          </w:pPr>
          <w:hyperlink w:anchor="_Toc124762111" w:history="1">
            <w:r w:rsidRPr="00D67D86">
              <w:rPr>
                <w:rStyle w:val="Hyperlink"/>
                <w:rFonts w:ascii="Times New Roman" w:hAnsi="Times New Roman" w:cs="Times New Roman"/>
                <w:b/>
                <w:bCs/>
                <w:noProof/>
              </w:rPr>
              <w:t>SC12-2016 (STOCK ASSESSMENT CONDUCTED)</w:t>
            </w:r>
            <w:r>
              <w:rPr>
                <w:noProof/>
                <w:webHidden/>
              </w:rPr>
              <w:tab/>
            </w:r>
            <w:r>
              <w:rPr>
                <w:noProof/>
                <w:webHidden/>
              </w:rPr>
              <w:fldChar w:fldCharType="begin"/>
            </w:r>
            <w:r>
              <w:rPr>
                <w:noProof/>
                <w:webHidden/>
              </w:rPr>
              <w:instrText xml:space="preserve"> PAGEREF _Toc124762111 \h </w:instrText>
            </w:r>
            <w:r>
              <w:rPr>
                <w:noProof/>
                <w:webHidden/>
              </w:rPr>
            </w:r>
            <w:r>
              <w:rPr>
                <w:noProof/>
                <w:webHidden/>
              </w:rPr>
              <w:fldChar w:fldCharType="separate"/>
            </w:r>
            <w:r>
              <w:rPr>
                <w:noProof/>
                <w:webHidden/>
              </w:rPr>
              <w:t>11</w:t>
            </w:r>
            <w:r>
              <w:rPr>
                <w:noProof/>
                <w:webHidden/>
              </w:rPr>
              <w:fldChar w:fldCharType="end"/>
            </w:r>
          </w:hyperlink>
        </w:p>
        <w:p w14:paraId="35D496EA" w14:textId="228B681C" w:rsidR="00A14265" w:rsidRDefault="00A14265">
          <w:pPr>
            <w:pStyle w:val="TOC1"/>
            <w:rPr>
              <w:rFonts w:eastAsiaTheme="minorEastAsia"/>
              <w:noProof/>
            </w:rPr>
          </w:pPr>
          <w:hyperlink w:anchor="_Toc124762112" w:history="1">
            <w:r w:rsidRPr="00D67D86">
              <w:rPr>
                <w:rStyle w:val="Hyperlink"/>
                <w:rFonts w:ascii="Times New Roman" w:eastAsia="MS Mincho" w:hAnsi="Times New Roman" w:cs="Times New Roman"/>
                <w:b/>
                <w:bCs/>
                <w:caps/>
                <w:noProof/>
                <w:lang w:val="en-NZ" w:eastAsia="en-NZ"/>
              </w:rPr>
              <w:t>Useful References</w:t>
            </w:r>
            <w:r>
              <w:rPr>
                <w:noProof/>
                <w:webHidden/>
              </w:rPr>
              <w:tab/>
            </w:r>
            <w:r>
              <w:rPr>
                <w:noProof/>
                <w:webHidden/>
              </w:rPr>
              <w:fldChar w:fldCharType="begin"/>
            </w:r>
            <w:r>
              <w:rPr>
                <w:noProof/>
                <w:webHidden/>
              </w:rPr>
              <w:instrText xml:space="preserve"> PAGEREF _Toc124762112 \h </w:instrText>
            </w:r>
            <w:r>
              <w:rPr>
                <w:noProof/>
                <w:webHidden/>
              </w:rPr>
            </w:r>
            <w:r>
              <w:rPr>
                <w:noProof/>
                <w:webHidden/>
              </w:rPr>
              <w:fldChar w:fldCharType="separate"/>
            </w:r>
            <w:r>
              <w:rPr>
                <w:noProof/>
                <w:webHidden/>
              </w:rPr>
              <w:t>12</w:t>
            </w:r>
            <w:r>
              <w:rPr>
                <w:noProof/>
                <w:webHidden/>
              </w:rPr>
              <w:fldChar w:fldCharType="end"/>
            </w:r>
          </w:hyperlink>
        </w:p>
        <w:p w14:paraId="57670A94" w14:textId="3C0F8015" w:rsidR="004B05DF" w:rsidRPr="00253E39" w:rsidRDefault="004B05DF" w:rsidP="00253E39">
          <w:pPr>
            <w:adjustRightInd w:val="0"/>
            <w:snapToGrid w:val="0"/>
            <w:spacing w:after="240" w:line="240" w:lineRule="auto"/>
            <w:rPr>
              <w:rFonts w:ascii="Times New Roman" w:hAnsi="Times New Roman" w:cs="Times New Roman"/>
            </w:rPr>
          </w:pPr>
          <w:r w:rsidRPr="00253E39">
            <w:rPr>
              <w:rFonts w:ascii="Times New Roman" w:hAnsi="Times New Roman" w:cs="Times New Roman"/>
              <w:b/>
              <w:bCs/>
              <w:noProof/>
            </w:rPr>
            <w:fldChar w:fldCharType="end"/>
          </w:r>
        </w:p>
      </w:sdtContent>
    </w:sdt>
    <w:p w14:paraId="1D114EEC" w14:textId="77777777" w:rsidR="00041101" w:rsidRPr="00253E39" w:rsidRDefault="00041101" w:rsidP="00253E39">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253E39">
        <w:rPr>
          <w:rFonts w:ascii="Times New Roman" w:hAnsi="Times New Roman" w:cs="Times New Roman"/>
        </w:rPr>
        <w:br w:type="page"/>
      </w:r>
    </w:p>
    <w:p w14:paraId="65E6885A" w14:textId="0AFA69D9" w:rsidR="001C52E0" w:rsidRDefault="001C52E0" w:rsidP="00253E39">
      <w:pPr>
        <w:pStyle w:val="Heading1"/>
        <w:adjustRightInd w:val="0"/>
        <w:snapToGrid w:val="0"/>
        <w:spacing w:before="0" w:line="240" w:lineRule="auto"/>
        <w:rPr>
          <w:rFonts w:ascii="Times New Roman" w:hAnsi="Times New Roman" w:cs="Times New Roman"/>
          <w:b/>
          <w:bCs/>
          <w:sz w:val="28"/>
          <w:szCs w:val="28"/>
        </w:rPr>
      </w:pPr>
      <w:bookmarkStart w:id="0" w:name="_Toc124762108"/>
      <w:r w:rsidRPr="002523D2">
        <w:rPr>
          <w:rFonts w:ascii="Times New Roman" w:hAnsi="Times New Roman" w:cs="Times New Roman"/>
          <w:b/>
          <w:bCs/>
          <w:sz w:val="28"/>
          <w:szCs w:val="28"/>
        </w:rPr>
        <w:lastRenderedPageBreak/>
        <w:t>SC1</w:t>
      </w:r>
      <w:r>
        <w:rPr>
          <w:rFonts w:ascii="Times New Roman" w:hAnsi="Times New Roman" w:cs="Times New Roman"/>
          <w:b/>
          <w:bCs/>
          <w:sz w:val="28"/>
          <w:szCs w:val="28"/>
        </w:rPr>
        <w:t xml:space="preserve">8 </w:t>
      </w:r>
      <w:r w:rsidRPr="002523D2">
        <w:rPr>
          <w:rFonts w:ascii="Times New Roman" w:hAnsi="Times New Roman" w:cs="Times New Roman"/>
          <w:b/>
          <w:bCs/>
          <w:sz w:val="28"/>
          <w:szCs w:val="28"/>
        </w:rPr>
        <w:t>202</w:t>
      </w:r>
      <w:r>
        <w:rPr>
          <w:rFonts w:ascii="Times New Roman" w:hAnsi="Times New Roman" w:cs="Times New Roman"/>
          <w:b/>
          <w:bCs/>
          <w:sz w:val="28"/>
          <w:szCs w:val="28"/>
        </w:rPr>
        <w:t>2</w:t>
      </w:r>
      <w:r w:rsidRPr="002523D2">
        <w:rPr>
          <w:rFonts w:ascii="Times New Roman" w:hAnsi="Times New Roman" w:cs="Times New Roman"/>
          <w:b/>
          <w:bCs/>
          <w:sz w:val="28"/>
          <w:szCs w:val="28"/>
        </w:rPr>
        <w:t xml:space="preserve"> (</w:t>
      </w:r>
      <w:r>
        <w:rPr>
          <w:rFonts w:ascii="Times New Roman" w:hAnsi="Times New Roman" w:cs="Times New Roman"/>
          <w:b/>
          <w:bCs/>
          <w:sz w:val="28"/>
          <w:szCs w:val="28"/>
        </w:rPr>
        <w:t xml:space="preserve">FURTHER </w:t>
      </w:r>
      <w:r w:rsidRPr="002523D2">
        <w:rPr>
          <w:rFonts w:ascii="Times New Roman" w:hAnsi="Times New Roman" w:cs="Times New Roman"/>
          <w:b/>
          <w:bCs/>
          <w:sz w:val="28"/>
          <w:szCs w:val="28"/>
        </w:rPr>
        <w:t xml:space="preserve">STOCK ASSESSMENT </w:t>
      </w:r>
      <w:bookmarkEnd w:id="0"/>
      <w:r w:rsidR="00167EED">
        <w:rPr>
          <w:rFonts w:ascii="Times New Roman" w:hAnsi="Times New Roman" w:cs="Times New Roman"/>
          <w:b/>
          <w:bCs/>
          <w:sz w:val="28"/>
          <w:szCs w:val="28"/>
        </w:rPr>
        <w:t>ANALYSIS)</w:t>
      </w:r>
    </w:p>
    <w:p w14:paraId="5DB82ED7" w14:textId="77777777" w:rsidR="001C52E0" w:rsidRPr="00E423A8" w:rsidRDefault="001C52E0" w:rsidP="001C52E0">
      <w:pPr>
        <w:pStyle w:val="SC3"/>
        <w:keepNext w:val="0"/>
        <w:widowControl w:val="0"/>
        <w:numPr>
          <w:ilvl w:val="0"/>
          <w:numId w:val="0"/>
        </w:numPr>
        <w:suppressLineNumbers w:val="0"/>
        <w:spacing w:after="0"/>
        <w:rPr>
          <w:bCs/>
          <w:lang w:val="en-US"/>
        </w:rPr>
      </w:pPr>
    </w:p>
    <w:p w14:paraId="7DE9CA31" w14:textId="77777777" w:rsidR="001C52E0" w:rsidRPr="00586E8A" w:rsidRDefault="001C52E0" w:rsidP="00586E8A">
      <w:pPr>
        <w:widowControl w:val="0"/>
        <w:adjustRightInd w:val="0"/>
        <w:snapToGrid w:val="0"/>
        <w:spacing w:after="0" w:line="240" w:lineRule="auto"/>
        <w:rPr>
          <w:rFonts w:ascii="Times New Roman" w:hAnsi="Times New Roman" w:cs="Times New Roman"/>
          <w:b/>
        </w:rPr>
      </w:pPr>
      <w:r w:rsidRPr="00586E8A">
        <w:rPr>
          <w:rFonts w:ascii="Times New Roman" w:hAnsi="Times New Roman" w:cs="Times New Roman"/>
          <w:b/>
        </w:rPr>
        <w:t>Towards providing scientific advice for Southwest Pacific blue shark (Project 107b)</w:t>
      </w:r>
    </w:p>
    <w:p w14:paraId="0CFEB3B6" w14:textId="77777777" w:rsidR="001C52E0" w:rsidRPr="00586E8A" w:rsidRDefault="001C52E0" w:rsidP="00586E8A">
      <w:pPr>
        <w:pStyle w:val="ListParagraph"/>
        <w:widowControl w:val="0"/>
        <w:adjustRightInd w:val="0"/>
        <w:snapToGrid w:val="0"/>
        <w:rPr>
          <w:rFonts w:ascii="Times New Roman" w:hAnsi="Times New Roman"/>
          <w:bCs/>
        </w:rPr>
      </w:pPr>
    </w:p>
    <w:p w14:paraId="224114FA" w14:textId="0B8F5234" w:rsidR="001C52E0" w:rsidRPr="00586E8A" w:rsidRDefault="001C52E0" w:rsidP="00586E8A">
      <w:pPr>
        <w:pStyle w:val="SCNumberedText"/>
        <w:widowControl w:val="0"/>
      </w:pPr>
      <w:r w:rsidRPr="00586E8A">
        <w:t xml:space="preserve">SC18 reviewed </w:t>
      </w:r>
      <w:r w:rsidRPr="00586E8A">
        <w:rPr>
          <w:bCs w:val="0"/>
        </w:rPr>
        <w:t>SC18-SA-WP-03</w:t>
      </w:r>
      <w:r w:rsidRPr="00586E8A">
        <w:t xml:space="preserve"> (</w:t>
      </w:r>
      <w:r w:rsidRPr="00586E8A">
        <w:rPr>
          <w:i/>
          <w:iCs/>
        </w:rPr>
        <w:t>Report on WCPFC project 107b: Improved stock assessment and structural uncertainty grid for Southwest Pacific blue shark</w:t>
      </w:r>
      <w:r w:rsidRPr="00586E8A">
        <w:t xml:space="preserve">), which is a response to SC17 recommendations to assess performance of each model and evaluate the plausibility of the uncertainty grid before approving the results for providing management advice using several diagnostic tests. </w:t>
      </w:r>
    </w:p>
    <w:p w14:paraId="35CE75B7" w14:textId="77777777" w:rsidR="001C52E0" w:rsidRPr="00586E8A" w:rsidRDefault="001C52E0" w:rsidP="00586E8A">
      <w:pPr>
        <w:pStyle w:val="ListParagraph"/>
        <w:widowControl w:val="0"/>
        <w:adjustRightInd w:val="0"/>
        <w:snapToGrid w:val="0"/>
        <w:ind w:left="780"/>
        <w:rPr>
          <w:rFonts w:ascii="Times New Roman" w:hAnsi="Times New Roman"/>
          <w:b/>
        </w:rPr>
      </w:pPr>
    </w:p>
    <w:p w14:paraId="4C86BE7A" w14:textId="77777777" w:rsidR="001C52E0" w:rsidRPr="00586E8A" w:rsidRDefault="001C52E0" w:rsidP="00586E8A">
      <w:pPr>
        <w:widowControl w:val="0"/>
        <w:adjustRightInd w:val="0"/>
        <w:snapToGrid w:val="0"/>
        <w:spacing w:after="0" w:line="240" w:lineRule="auto"/>
        <w:rPr>
          <w:rFonts w:ascii="Times New Roman" w:hAnsi="Times New Roman" w:cs="Times New Roman"/>
          <w:b/>
        </w:rPr>
      </w:pPr>
      <w:r w:rsidRPr="00586E8A">
        <w:rPr>
          <w:rFonts w:ascii="Times New Roman" w:hAnsi="Times New Roman" w:cs="Times New Roman"/>
          <w:b/>
        </w:rPr>
        <w:t>Provision of scientific information</w:t>
      </w:r>
    </w:p>
    <w:p w14:paraId="684635B8" w14:textId="77777777" w:rsidR="001C52E0" w:rsidRPr="00586E8A" w:rsidRDefault="001C52E0" w:rsidP="00586E8A">
      <w:pPr>
        <w:pStyle w:val="ListParagraph"/>
        <w:widowControl w:val="0"/>
        <w:adjustRightInd w:val="0"/>
        <w:snapToGrid w:val="0"/>
        <w:ind w:left="60"/>
        <w:rPr>
          <w:rFonts w:ascii="Times New Roman" w:hAnsi="Times New Roman"/>
        </w:rPr>
      </w:pPr>
    </w:p>
    <w:p w14:paraId="6887C728" w14:textId="77777777" w:rsidR="001C52E0" w:rsidRPr="00586E8A" w:rsidRDefault="001C52E0" w:rsidP="00586E8A">
      <w:pPr>
        <w:widowControl w:val="0"/>
        <w:numPr>
          <w:ilvl w:val="0"/>
          <w:numId w:val="15"/>
        </w:numPr>
        <w:adjustRightInd w:val="0"/>
        <w:snapToGrid w:val="0"/>
        <w:spacing w:after="0" w:line="240" w:lineRule="auto"/>
        <w:ind w:left="0" w:firstLine="0"/>
        <w:rPr>
          <w:rFonts w:ascii="Times New Roman" w:hAnsi="Times New Roman" w:cs="Times New Roman"/>
          <w:b/>
        </w:rPr>
      </w:pPr>
      <w:r w:rsidRPr="00586E8A">
        <w:rPr>
          <w:rFonts w:ascii="Times New Roman" w:hAnsi="Times New Roman" w:cs="Times New Roman"/>
          <w:b/>
        </w:rPr>
        <w:t xml:space="preserve">Status and trends </w:t>
      </w:r>
    </w:p>
    <w:p w14:paraId="3BF03847" w14:textId="77777777" w:rsidR="001C52E0" w:rsidRPr="00586E8A" w:rsidRDefault="001C52E0" w:rsidP="00586E8A">
      <w:pPr>
        <w:widowControl w:val="0"/>
        <w:adjustRightInd w:val="0"/>
        <w:snapToGrid w:val="0"/>
        <w:spacing w:after="0" w:line="240" w:lineRule="auto"/>
        <w:ind w:left="1080"/>
        <w:rPr>
          <w:rFonts w:ascii="Times New Roman" w:hAnsi="Times New Roman" w:cs="Times New Roman"/>
        </w:rPr>
      </w:pPr>
    </w:p>
    <w:p w14:paraId="09ABC11B" w14:textId="77777777" w:rsidR="001C52E0" w:rsidRPr="00586E8A" w:rsidRDefault="001C52E0" w:rsidP="00586E8A">
      <w:pPr>
        <w:pStyle w:val="SCNumberedText"/>
      </w:pPr>
      <w:r w:rsidRPr="00586E8A">
        <w:t xml:space="preserve">A description of the structural uncertainty grid with associated weighting that was used to define stock status and characterize uncertainty in the </w:t>
      </w:r>
      <w:r w:rsidRPr="00586E8A">
        <w:rPr>
          <w:lang w:val="en-US"/>
        </w:rPr>
        <w:t xml:space="preserve">Southwest </w:t>
      </w:r>
      <w:r w:rsidRPr="00586E8A">
        <w:t>Pacific</w:t>
      </w:r>
      <w:r w:rsidRPr="00586E8A">
        <w:rPr>
          <w:lang w:val="en-US"/>
        </w:rPr>
        <w:t xml:space="preserve"> blue shark (</w:t>
      </w:r>
      <w:r w:rsidRPr="00586E8A">
        <w:t xml:space="preserve">SBSH) assessment is included in Table SBSH-1. </w:t>
      </w:r>
    </w:p>
    <w:p w14:paraId="1D1BDCF6" w14:textId="77777777" w:rsidR="001C52E0" w:rsidRPr="00586E8A" w:rsidRDefault="001C52E0" w:rsidP="00586E8A">
      <w:pPr>
        <w:pStyle w:val="SCNumberedText"/>
        <w:numPr>
          <w:ilvl w:val="0"/>
          <w:numId w:val="0"/>
        </w:numPr>
      </w:pPr>
    </w:p>
    <w:p w14:paraId="50F88D07" w14:textId="77777777" w:rsidR="001C52E0" w:rsidRPr="00586E8A" w:rsidRDefault="001C52E0" w:rsidP="00586E8A">
      <w:pPr>
        <w:pStyle w:val="SCNumberedText"/>
        <w:tabs>
          <w:tab w:val="clear" w:pos="0"/>
        </w:tabs>
      </w:pPr>
      <w:r w:rsidRPr="00586E8A">
        <w:t xml:space="preserve">SC18 noted the improvement of the structural uncertainty grid and the use of 228 models, with </w:t>
      </w:r>
      <w:r w:rsidRPr="00586E8A">
        <w:rPr>
          <w:i/>
          <w:iCs/>
        </w:rPr>
        <w:t>a priori</w:t>
      </w:r>
      <w:r w:rsidRPr="00586E8A">
        <w:t xml:space="preserve"> weighting, and the reduced grid complexity compared to the 2021 version.</w:t>
      </w:r>
    </w:p>
    <w:p w14:paraId="6A472034" w14:textId="77777777" w:rsidR="001C52E0" w:rsidRPr="00586E8A" w:rsidRDefault="001C52E0" w:rsidP="00586E8A">
      <w:pPr>
        <w:pStyle w:val="SCNumberedText"/>
        <w:numPr>
          <w:ilvl w:val="0"/>
          <w:numId w:val="0"/>
        </w:numPr>
      </w:pPr>
    </w:p>
    <w:p w14:paraId="45AB62DA" w14:textId="77777777" w:rsidR="001C52E0" w:rsidRPr="00586E8A" w:rsidRDefault="001C52E0" w:rsidP="00586E8A">
      <w:pPr>
        <w:pStyle w:val="SCNumberedText"/>
        <w:tabs>
          <w:tab w:val="clear" w:pos="0"/>
        </w:tabs>
      </w:pPr>
      <w:r w:rsidRPr="00586E8A">
        <w:t xml:space="preserve">SC18 noted the stock biomass was low throughout the region through the early 2000s following the expansion of longline fishing effort in the region, but the estimates across the uncertainty grid of 228 models largely indicated that the stock has been recovering since then. </w:t>
      </w:r>
    </w:p>
    <w:p w14:paraId="5AFC179D" w14:textId="77777777" w:rsidR="001C52E0" w:rsidRPr="00586E8A" w:rsidRDefault="001C52E0" w:rsidP="00586E8A">
      <w:pPr>
        <w:pStyle w:val="SCNumberedText"/>
        <w:numPr>
          <w:ilvl w:val="0"/>
          <w:numId w:val="0"/>
        </w:numPr>
      </w:pPr>
    </w:p>
    <w:p w14:paraId="1422DABF" w14:textId="77777777" w:rsidR="001C52E0" w:rsidRPr="00586E8A" w:rsidRDefault="001C52E0" w:rsidP="00586E8A">
      <w:pPr>
        <w:pStyle w:val="SCNumberedText"/>
        <w:tabs>
          <w:tab w:val="clear" w:pos="0"/>
        </w:tabs>
      </w:pPr>
      <w:r w:rsidRPr="00586E8A">
        <w:t>SC18 noted that the median value of relative recent dynamic spawning biomass depletion for Southwest Pacific blue shark (</w:t>
      </w:r>
      <w:r w:rsidRPr="00586E8A">
        <w:rPr>
          <w:i/>
          <w:iCs/>
        </w:rPr>
        <w:t>SB</w:t>
      </w:r>
      <w:r w:rsidRPr="00586E8A">
        <w:rPr>
          <w:i/>
          <w:iCs/>
          <w:vertAlign w:val="subscript"/>
        </w:rPr>
        <w:t>2017-2020</w:t>
      </w:r>
      <w:r w:rsidRPr="00586E8A">
        <w:rPr>
          <w:i/>
          <w:iCs/>
        </w:rPr>
        <w:t>/SB</w:t>
      </w:r>
      <w:r w:rsidRPr="00586E8A">
        <w:rPr>
          <w:i/>
          <w:iCs/>
          <w:vertAlign w:val="subscript"/>
        </w:rPr>
        <w:t>F=0</w:t>
      </w:r>
      <w:r w:rsidRPr="00586E8A">
        <w:t>) was 0.71 (90</w:t>
      </w:r>
      <w:r w:rsidRPr="00586E8A">
        <w:rPr>
          <w:vertAlign w:val="superscript"/>
        </w:rPr>
        <w:t>th</w:t>
      </w:r>
      <w:r w:rsidRPr="00586E8A">
        <w:t xml:space="preserve"> percentiles 0.37 and 0.82). Alternatively, relative recent equilibrium spawning biomass depletion for South Pacific blue shark (</w:t>
      </w:r>
      <w:r w:rsidRPr="00586E8A">
        <w:rPr>
          <w:i/>
          <w:iCs/>
        </w:rPr>
        <w:t>SB</w:t>
      </w:r>
      <w:r w:rsidRPr="00586E8A">
        <w:rPr>
          <w:i/>
          <w:iCs/>
          <w:vertAlign w:val="subscript"/>
        </w:rPr>
        <w:t>2017-2020</w:t>
      </w:r>
      <w:r w:rsidRPr="00586E8A">
        <w:rPr>
          <w:i/>
          <w:iCs/>
        </w:rPr>
        <w:t>/SB</w:t>
      </w:r>
      <w:r w:rsidRPr="00586E8A">
        <w:rPr>
          <w:i/>
          <w:iCs/>
          <w:vertAlign w:val="subscript"/>
        </w:rPr>
        <w:t>0</w:t>
      </w:r>
      <w:r w:rsidRPr="00586E8A">
        <w:t>) was = 0.80 (90</w:t>
      </w:r>
      <w:r w:rsidRPr="00586E8A">
        <w:rPr>
          <w:vertAlign w:val="superscript"/>
        </w:rPr>
        <w:t>th</w:t>
      </w:r>
      <w:r w:rsidRPr="00586E8A">
        <w:t xml:space="preserve"> percentiles 0.43 and 0.90).</w:t>
      </w:r>
    </w:p>
    <w:p w14:paraId="182E9CC4" w14:textId="77777777" w:rsidR="001C52E0" w:rsidRPr="00586E8A" w:rsidRDefault="001C52E0" w:rsidP="00586E8A">
      <w:pPr>
        <w:pStyle w:val="SCNumberedText"/>
        <w:numPr>
          <w:ilvl w:val="0"/>
          <w:numId w:val="0"/>
        </w:numPr>
      </w:pPr>
    </w:p>
    <w:p w14:paraId="4F40DAB4" w14:textId="77777777" w:rsidR="001C52E0" w:rsidRPr="00586E8A" w:rsidRDefault="001C52E0" w:rsidP="00586E8A">
      <w:pPr>
        <w:pStyle w:val="SCNumberedText"/>
        <w:tabs>
          <w:tab w:val="clear" w:pos="0"/>
        </w:tabs>
      </w:pPr>
      <w:r w:rsidRPr="00586E8A">
        <w:t xml:space="preserve">SC18 noted that the median value of </w:t>
      </w:r>
      <w:r w:rsidRPr="00586E8A">
        <w:rPr>
          <w:i/>
          <w:iCs/>
        </w:rPr>
        <w:t>SB</w:t>
      </w:r>
      <w:r w:rsidRPr="00586E8A">
        <w:rPr>
          <w:i/>
          <w:iCs/>
          <w:vertAlign w:val="subscript"/>
        </w:rPr>
        <w:t>2017-2020</w:t>
      </w:r>
      <w:r w:rsidRPr="00586E8A">
        <w:rPr>
          <w:i/>
          <w:iCs/>
        </w:rPr>
        <w:t>/SB</w:t>
      </w:r>
      <w:r w:rsidRPr="00586E8A">
        <w:rPr>
          <w:i/>
          <w:iCs/>
          <w:vertAlign w:val="subscript"/>
        </w:rPr>
        <w:t>MSY</w:t>
      </w:r>
      <w:r w:rsidRPr="00586E8A">
        <w:t xml:space="preserve"> was 1.64 (90</w:t>
      </w:r>
      <w:r w:rsidRPr="00586E8A">
        <w:rPr>
          <w:vertAlign w:val="superscript"/>
        </w:rPr>
        <w:t>th</w:t>
      </w:r>
      <w:r w:rsidRPr="00586E8A">
        <w:t xml:space="preserve"> percentiles 0.88 and 1.87; Table SBSH-2) with 87% likelihood (according to the 228 weighted models) that the biomass is above SB</w:t>
      </w:r>
      <w:r w:rsidRPr="00586E8A">
        <w:rPr>
          <w:vertAlign w:val="subscript"/>
        </w:rPr>
        <w:t>MSY</w:t>
      </w:r>
      <w:r w:rsidRPr="00586E8A">
        <w:t>.</w:t>
      </w:r>
    </w:p>
    <w:p w14:paraId="0612FA85" w14:textId="77777777" w:rsidR="001C52E0" w:rsidRPr="00586E8A" w:rsidRDefault="001C52E0" w:rsidP="00586E8A">
      <w:pPr>
        <w:pStyle w:val="SCNumberedText"/>
        <w:numPr>
          <w:ilvl w:val="0"/>
          <w:numId w:val="0"/>
        </w:numPr>
      </w:pPr>
    </w:p>
    <w:p w14:paraId="21216C9A" w14:textId="77777777" w:rsidR="001C52E0" w:rsidRPr="00586E8A" w:rsidRDefault="001C52E0" w:rsidP="00586E8A">
      <w:pPr>
        <w:pStyle w:val="SCNumberedText"/>
        <w:tabs>
          <w:tab w:val="clear" w:pos="0"/>
        </w:tabs>
      </w:pPr>
      <w:r w:rsidRPr="00586E8A">
        <w:t xml:space="preserve">SC18 noted that the fishing mortality has declined over the last decade and is currently relatively low with the median </w:t>
      </w:r>
      <w:r w:rsidRPr="00586E8A">
        <w:rPr>
          <w:i/>
          <w:iCs/>
        </w:rPr>
        <w:t>F</w:t>
      </w:r>
      <w:r w:rsidRPr="00586E8A">
        <w:rPr>
          <w:i/>
          <w:iCs/>
          <w:vertAlign w:val="subscript"/>
        </w:rPr>
        <w:t>2017-2020</w:t>
      </w:r>
      <w:r w:rsidRPr="00586E8A">
        <w:rPr>
          <w:i/>
          <w:iCs/>
        </w:rPr>
        <w:t>/F</w:t>
      </w:r>
      <w:r w:rsidRPr="00586E8A">
        <w:rPr>
          <w:i/>
          <w:iCs/>
          <w:vertAlign w:val="subscript"/>
        </w:rPr>
        <w:t>MSY</w:t>
      </w:r>
      <w:r w:rsidRPr="00586E8A">
        <w:t xml:space="preserve"> = 0.65 (90</w:t>
      </w:r>
      <w:r w:rsidRPr="00586E8A">
        <w:rPr>
          <w:vertAlign w:val="superscript"/>
        </w:rPr>
        <w:t>th</w:t>
      </w:r>
      <w:r w:rsidRPr="00586E8A">
        <w:t xml:space="preserve"> percentiles 0.43 and 0.86; Table SBSH-2).</w:t>
      </w:r>
    </w:p>
    <w:p w14:paraId="1A5010D6" w14:textId="77777777" w:rsidR="001C52E0" w:rsidRPr="00586E8A" w:rsidRDefault="001C52E0" w:rsidP="00586E8A">
      <w:pPr>
        <w:pStyle w:val="SCNumberedText"/>
        <w:numPr>
          <w:ilvl w:val="0"/>
          <w:numId w:val="0"/>
        </w:numPr>
      </w:pPr>
    </w:p>
    <w:p w14:paraId="0CA2A0C3" w14:textId="77777777" w:rsidR="001C52E0" w:rsidRPr="00586E8A" w:rsidRDefault="001C52E0" w:rsidP="00586E8A">
      <w:pPr>
        <w:pStyle w:val="SCNumberedText"/>
        <w:tabs>
          <w:tab w:val="clear" w:pos="0"/>
        </w:tabs>
      </w:pPr>
      <w:r w:rsidRPr="00586E8A">
        <w:t>SC18 noted that there was a 1% likelihood (according to the 228 weighted models) that the recent fishing mortality (</w:t>
      </w:r>
      <w:r w:rsidRPr="00586E8A">
        <w:rPr>
          <w:i/>
          <w:iCs/>
        </w:rPr>
        <w:t>F</w:t>
      </w:r>
      <w:r w:rsidRPr="00586E8A">
        <w:rPr>
          <w:i/>
          <w:iCs/>
          <w:vertAlign w:val="subscript"/>
        </w:rPr>
        <w:t>2017-2020</w:t>
      </w:r>
      <w:r w:rsidRPr="00586E8A">
        <w:t>) was above F</w:t>
      </w:r>
      <w:r w:rsidRPr="00586E8A">
        <w:rPr>
          <w:vertAlign w:val="subscript"/>
        </w:rPr>
        <w:t>MSY</w:t>
      </w:r>
      <w:r w:rsidRPr="00586E8A">
        <w:t>.</w:t>
      </w:r>
    </w:p>
    <w:p w14:paraId="55FE0319"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bCs/>
          <w:lang w:val="en-GB" w:eastAsia="en-AU"/>
        </w:rPr>
      </w:pPr>
    </w:p>
    <w:p w14:paraId="0CC9C102" w14:textId="77777777" w:rsidR="001C52E0" w:rsidRPr="00586E8A" w:rsidRDefault="001C52E0" w:rsidP="00586E8A">
      <w:pPr>
        <w:spacing w:after="0" w:line="240" w:lineRule="auto"/>
        <w:rPr>
          <w:rFonts w:ascii="Times New Roman" w:hAnsi="Times New Roman" w:cs="Times New Roman"/>
          <w:b/>
          <w:bCs/>
          <w:lang w:val="en-GB" w:eastAsia="en-AU"/>
        </w:rPr>
      </w:pPr>
      <w:r w:rsidRPr="00586E8A">
        <w:rPr>
          <w:rFonts w:ascii="Times New Roman" w:hAnsi="Times New Roman" w:cs="Times New Roman"/>
          <w:b/>
          <w:bCs/>
          <w:lang w:val="en-GB" w:eastAsia="en-AU"/>
        </w:rPr>
        <w:br w:type="page"/>
      </w:r>
    </w:p>
    <w:p w14:paraId="32FE24EC"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r w:rsidRPr="00586E8A">
        <w:rPr>
          <w:rFonts w:ascii="Times New Roman" w:hAnsi="Times New Roman" w:cs="Times New Roman"/>
          <w:b/>
          <w:bCs/>
          <w:lang w:val="en-GB" w:eastAsia="en-AU"/>
        </w:rPr>
        <w:lastRenderedPageBreak/>
        <w:t xml:space="preserve">Table SBSH-1. </w:t>
      </w:r>
      <w:r w:rsidRPr="00586E8A">
        <w:rPr>
          <w:rFonts w:ascii="Times New Roman" w:hAnsi="Times New Roman" w:cs="Times New Roman"/>
          <w:lang w:val="en-GB" w:eastAsia="en-AU"/>
        </w:rPr>
        <w:t>Description of the seven axes for the updated 2022 structural uncertainty grid. Base settings used under the diagnostic case are highlighted in bold. Weights used for alternative values in the weighting of the grid axes are given in parentheses.</w:t>
      </w: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020"/>
      </w:tblGrid>
      <w:tr w:rsidR="001C52E0" w:rsidRPr="00586E8A" w14:paraId="3184B280" w14:textId="77777777" w:rsidTr="0057174A">
        <w:tc>
          <w:tcPr>
            <w:tcW w:w="1250" w:type="pct"/>
            <w:tcBorders>
              <w:top w:val="single" w:sz="4" w:space="0" w:color="auto"/>
              <w:bottom w:val="single" w:sz="4" w:space="0" w:color="auto"/>
            </w:tcBorders>
            <w:shd w:val="clear" w:color="auto" w:fill="BFBFBF"/>
          </w:tcPr>
          <w:p w14:paraId="5ADB383E" w14:textId="77777777" w:rsidR="001C52E0" w:rsidRPr="00586E8A" w:rsidRDefault="001C52E0" w:rsidP="00586E8A">
            <w:pPr>
              <w:widowControl w:val="0"/>
              <w:adjustRightInd w:val="0"/>
              <w:snapToGrid w:val="0"/>
              <w:jc w:val="both"/>
              <w:rPr>
                <w:rFonts w:ascii="Times New Roman" w:hAnsi="Times New Roman" w:cs="Times New Roman"/>
                <w:b/>
                <w:bCs/>
                <w:lang w:val="en-GB"/>
              </w:rPr>
            </w:pPr>
            <w:r w:rsidRPr="00586E8A">
              <w:rPr>
                <w:rFonts w:ascii="Times New Roman" w:hAnsi="Times New Roman" w:cs="Times New Roman"/>
                <w:b/>
                <w:bCs/>
                <w:lang w:val="en-GB"/>
              </w:rPr>
              <w:t>Axis</w:t>
            </w:r>
          </w:p>
        </w:tc>
        <w:tc>
          <w:tcPr>
            <w:tcW w:w="3750" w:type="pct"/>
            <w:tcBorders>
              <w:top w:val="single" w:sz="4" w:space="0" w:color="auto"/>
              <w:bottom w:val="single" w:sz="4" w:space="0" w:color="auto"/>
            </w:tcBorders>
            <w:shd w:val="clear" w:color="auto" w:fill="BFBFBF"/>
          </w:tcPr>
          <w:p w14:paraId="27097971" w14:textId="77777777" w:rsidR="001C52E0" w:rsidRPr="00586E8A" w:rsidRDefault="001C52E0" w:rsidP="00586E8A">
            <w:pPr>
              <w:widowControl w:val="0"/>
              <w:adjustRightInd w:val="0"/>
              <w:snapToGrid w:val="0"/>
              <w:jc w:val="both"/>
              <w:rPr>
                <w:rFonts w:ascii="Times New Roman" w:hAnsi="Times New Roman" w:cs="Times New Roman"/>
                <w:b/>
                <w:bCs/>
                <w:lang w:val="en-GB"/>
              </w:rPr>
            </w:pPr>
            <w:r w:rsidRPr="00586E8A">
              <w:rPr>
                <w:rFonts w:ascii="Times New Roman" w:hAnsi="Times New Roman" w:cs="Times New Roman"/>
                <w:b/>
                <w:bCs/>
                <w:lang w:val="en-GB"/>
              </w:rPr>
              <w:t>Description</w:t>
            </w:r>
          </w:p>
        </w:tc>
      </w:tr>
      <w:tr w:rsidR="001C52E0" w:rsidRPr="00586E8A" w14:paraId="3FBB723C" w14:textId="77777777" w:rsidTr="0057174A">
        <w:tc>
          <w:tcPr>
            <w:tcW w:w="1250" w:type="pct"/>
            <w:tcBorders>
              <w:top w:val="single" w:sz="4" w:space="0" w:color="auto"/>
            </w:tcBorders>
          </w:tcPr>
          <w:p w14:paraId="4AC0B928"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Catch scenario</w:t>
            </w:r>
          </w:p>
        </w:tc>
        <w:tc>
          <w:tcPr>
            <w:tcW w:w="3750" w:type="pct"/>
            <w:tcBorders>
              <w:top w:val="single" w:sz="4" w:space="0" w:color="auto"/>
            </w:tcBorders>
          </w:tcPr>
          <w:p w14:paraId="5E8C1982" w14:textId="77777777" w:rsidR="001C52E0" w:rsidRPr="00586E8A" w:rsidRDefault="001C52E0" w:rsidP="00586E8A">
            <w:pPr>
              <w:widowControl w:val="0"/>
              <w:adjustRightInd w:val="0"/>
              <w:snapToGrid w:val="0"/>
              <w:ind w:rightChars="-50" w:right="-110"/>
              <w:jc w:val="both"/>
              <w:rPr>
                <w:rFonts w:ascii="Times New Roman" w:hAnsi="Times New Roman" w:cs="Times New Roman"/>
                <w:lang w:val="en-GB"/>
              </w:rPr>
            </w:pPr>
            <w:r w:rsidRPr="00586E8A">
              <w:rPr>
                <w:rFonts w:ascii="Times New Roman" w:hAnsi="Times New Roman" w:cs="Times New Roman"/>
                <w:b/>
                <w:bCs/>
                <w:lang w:val="en-GB"/>
              </w:rPr>
              <w:t>Base (0.9)</w:t>
            </w:r>
            <w:r w:rsidRPr="00586E8A">
              <w:rPr>
                <w:rFonts w:ascii="Times New Roman" w:hAnsi="Times New Roman" w:cs="Times New Roman"/>
                <w:lang w:val="en-GB"/>
              </w:rPr>
              <w:t>, high (0.1)</w:t>
            </w:r>
          </w:p>
        </w:tc>
      </w:tr>
      <w:tr w:rsidR="001C52E0" w:rsidRPr="00586E8A" w14:paraId="1F34BC09" w14:textId="77777777" w:rsidTr="0057174A">
        <w:tc>
          <w:tcPr>
            <w:tcW w:w="1250" w:type="pct"/>
          </w:tcPr>
          <w:p w14:paraId="151A31C1"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Discard scenario</w:t>
            </w:r>
          </w:p>
        </w:tc>
        <w:tc>
          <w:tcPr>
            <w:tcW w:w="3750" w:type="pct"/>
          </w:tcPr>
          <w:p w14:paraId="28F3774E"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 xml:space="preserve">Low (0.25), </w:t>
            </w:r>
            <w:r w:rsidRPr="00586E8A">
              <w:rPr>
                <w:rFonts w:ascii="Times New Roman" w:hAnsi="Times New Roman" w:cs="Times New Roman"/>
                <w:b/>
                <w:bCs/>
                <w:lang w:val="en-GB"/>
              </w:rPr>
              <w:t>base (0.5)</w:t>
            </w:r>
            <w:r w:rsidRPr="00586E8A">
              <w:rPr>
                <w:rFonts w:ascii="Times New Roman" w:hAnsi="Times New Roman" w:cs="Times New Roman"/>
                <w:lang w:val="en-GB"/>
              </w:rPr>
              <w:t>, high (0.25)</w:t>
            </w:r>
          </w:p>
        </w:tc>
      </w:tr>
      <w:tr w:rsidR="001C52E0" w:rsidRPr="00586E8A" w14:paraId="39F904BE" w14:textId="77777777" w:rsidTr="0057174A">
        <w:tc>
          <w:tcPr>
            <w:tcW w:w="1250" w:type="pct"/>
          </w:tcPr>
          <w:p w14:paraId="451E70CC"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Initial F</w:t>
            </w:r>
          </w:p>
        </w:tc>
        <w:tc>
          <w:tcPr>
            <w:tcW w:w="3750" w:type="pct"/>
          </w:tcPr>
          <w:p w14:paraId="3BDA1F8C"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b/>
                <w:bCs/>
                <w:lang w:val="en-GB"/>
              </w:rPr>
              <w:t>base (0.9)</w:t>
            </w:r>
            <w:r w:rsidRPr="00586E8A">
              <w:rPr>
                <w:rFonts w:ascii="Times New Roman" w:hAnsi="Times New Roman" w:cs="Times New Roman"/>
                <w:lang w:val="en-GB"/>
              </w:rPr>
              <w:t>, high (0.1)</w:t>
            </w:r>
          </w:p>
        </w:tc>
      </w:tr>
      <w:tr w:rsidR="001C52E0" w:rsidRPr="00586E8A" w14:paraId="3CAC46CC" w14:textId="77777777" w:rsidTr="0057174A">
        <w:tc>
          <w:tcPr>
            <w:tcW w:w="1250" w:type="pct"/>
          </w:tcPr>
          <w:p w14:paraId="2137C06C"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High latitude CPUE</w:t>
            </w:r>
          </w:p>
        </w:tc>
        <w:tc>
          <w:tcPr>
            <w:tcW w:w="3750" w:type="pct"/>
          </w:tcPr>
          <w:p w14:paraId="72DDA914"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b/>
                <w:bCs/>
                <w:lang w:val="en-GB"/>
              </w:rPr>
              <w:t>New Zealand (1),</w:t>
            </w:r>
            <w:r w:rsidRPr="00586E8A">
              <w:rPr>
                <w:rFonts w:ascii="Times New Roman" w:hAnsi="Times New Roman" w:cs="Times New Roman"/>
                <w:lang w:val="en-GB"/>
              </w:rPr>
              <w:t xml:space="preserve"> low weight (0.5), remove (RM) early New Zealand (0.5)</w:t>
            </w:r>
          </w:p>
        </w:tc>
      </w:tr>
      <w:tr w:rsidR="001C52E0" w:rsidRPr="00586E8A" w14:paraId="772B4B89" w14:textId="77777777" w:rsidTr="0057174A">
        <w:tc>
          <w:tcPr>
            <w:tcW w:w="1250" w:type="pct"/>
          </w:tcPr>
          <w:p w14:paraId="3824D48E"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Low latitude CPUE</w:t>
            </w:r>
          </w:p>
        </w:tc>
        <w:tc>
          <w:tcPr>
            <w:tcW w:w="3750" w:type="pct"/>
          </w:tcPr>
          <w:p w14:paraId="77FB1A42"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b/>
                <w:bCs/>
                <w:lang w:val="en-GB"/>
              </w:rPr>
              <w:t>Japan (1)</w:t>
            </w:r>
            <w:r w:rsidRPr="00586E8A">
              <w:rPr>
                <w:rFonts w:ascii="Times New Roman" w:hAnsi="Times New Roman" w:cs="Times New Roman"/>
                <w:lang w:val="en-GB"/>
              </w:rPr>
              <w:t>, Australia (0.5), remove EU CPUE</w:t>
            </w:r>
          </w:p>
        </w:tc>
      </w:tr>
      <w:tr w:rsidR="001C52E0" w:rsidRPr="00586E8A" w14:paraId="4F38A777" w14:textId="77777777" w:rsidTr="0057174A">
        <w:tc>
          <w:tcPr>
            <w:tcW w:w="1250" w:type="pct"/>
          </w:tcPr>
          <w:p w14:paraId="52FDC6D2"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Survival fraction</w:t>
            </w:r>
          </w:p>
        </w:tc>
        <w:tc>
          <w:tcPr>
            <w:tcW w:w="3750" w:type="pct"/>
          </w:tcPr>
          <w:p w14:paraId="6CC15076"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b/>
                <w:bCs/>
                <w:lang w:val="en-GB"/>
              </w:rPr>
              <w:t>Base</w:t>
            </w:r>
            <w:r w:rsidRPr="00586E8A">
              <w:rPr>
                <w:rFonts w:ascii="Times New Roman" w:hAnsi="Times New Roman" w:cs="Times New Roman"/>
                <w:lang w:val="en-GB"/>
              </w:rPr>
              <w:t>, low, high</w:t>
            </w:r>
          </w:p>
        </w:tc>
      </w:tr>
      <w:tr w:rsidR="001C52E0" w:rsidRPr="00586E8A" w14:paraId="7C7E5714" w14:textId="77777777" w:rsidTr="0057174A">
        <w:tc>
          <w:tcPr>
            <w:tcW w:w="1250" w:type="pct"/>
            <w:tcBorders>
              <w:bottom w:val="single" w:sz="4" w:space="0" w:color="auto"/>
            </w:tcBorders>
          </w:tcPr>
          <w:p w14:paraId="4B7D6FF3"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lang w:val="en-GB"/>
              </w:rPr>
              <w:t>Growth</w:t>
            </w:r>
          </w:p>
        </w:tc>
        <w:tc>
          <w:tcPr>
            <w:tcW w:w="3750" w:type="pct"/>
            <w:tcBorders>
              <w:bottom w:val="single" w:sz="4" w:space="0" w:color="auto"/>
            </w:tcBorders>
          </w:tcPr>
          <w:p w14:paraId="263C9073" w14:textId="77777777" w:rsidR="001C52E0" w:rsidRPr="00586E8A" w:rsidRDefault="001C52E0" w:rsidP="00586E8A">
            <w:pPr>
              <w:widowControl w:val="0"/>
              <w:adjustRightInd w:val="0"/>
              <w:snapToGrid w:val="0"/>
              <w:jc w:val="both"/>
              <w:rPr>
                <w:rFonts w:ascii="Times New Roman" w:hAnsi="Times New Roman" w:cs="Times New Roman"/>
                <w:lang w:val="en-GB"/>
              </w:rPr>
            </w:pPr>
            <w:r w:rsidRPr="00586E8A">
              <w:rPr>
                <w:rFonts w:ascii="Times New Roman" w:hAnsi="Times New Roman" w:cs="Times New Roman"/>
                <w:b/>
                <w:bCs/>
                <w:lang w:val="en-GB"/>
              </w:rPr>
              <w:t>Manning and Francis (2005)</w:t>
            </w:r>
            <w:r w:rsidRPr="00586E8A">
              <w:rPr>
                <w:rFonts w:ascii="Times New Roman" w:hAnsi="Times New Roman" w:cs="Times New Roman"/>
                <w:lang w:val="en-GB"/>
              </w:rPr>
              <w:t xml:space="preserve">, </w:t>
            </w:r>
            <w:proofErr w:type="spellStart"/>
            <w:r w:rsidRPr="00586E8A">
              <w:rPr>
                <w:rFonts w:ascii="Times New Roman" w:hAnsi="Times New Roman" w:cs="Times New Roman"/>
                <w:lang w:val="en-GB"/>
              </w:rPr>
              <w:t>Joung</w:t>
            </w:r>
            <w:proofErr w:type="spellEnd"/>
            <w:r w:rsidRPr="00586E8A">
              <w:rPr>
                <w:rFonts w:ascii="Times New Roman" w:hAnsi="Times New Roman" w:cs="Times New Roman"/>
                <w:lang w:val="en-GB"/>
              </w:rPr>
              <w:t xml:space="preserve"> et al. (2018)</w:t>
            </w:r>
          </w:p>
        </w:tc>
      </w:tr>
    </w:tbl>
    <w:p w14:paraId="15DF892A"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b/>
          <w:bCs/>
          <w:lang w:val="en-GB" w:eastAsia="en-AU"/>
        </w:rPr>
      </w:pPr>
    </w:p>
    <w:p w14:paraId="3B9DBD24"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b/>
          <w:bCs/>
          <w:lang w:val="en-GB" w:eastAsia="en-AU"/>
        </w:rPr>
      </w:pPr>
    </w:p>
    <w:p w14:paraId="2D6DE05A"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r w:rsidRPr="00586E8A">
        <w:rPr>
          <w:rFonts w:ascii="Times New Roman" w:hAnsi="Times New Roman" w:cs="Times New Roman"/>
          <w:b/>
          <w:bCs/>
          <w:lang w:val="en-GB" w:eastAsia="en-AU"/>
        </w:rPr>
        <w:t xml:space="preserve">Table SBSH-2. </w:t>
      </w:r>
      <w:r w:rsidRPr="00586E8A">
        <w:rPr>
          <w:rFonts w:ascii="Times New Roman" w:hAnsi="Times New Roman" w:cs="Times New Roman"/>
          <w:lang w:val="en-GB" w:eastAsia="en-AU"/>
        </w:rPr>
        <w:t xml:space="preserve">Summary of reference points and stock status for the subset of 228 grid model in the structural uncertainty grid, after sub-setting the grid for model runs that showed acceptable retrospective patterns and estimates for natural mortality. Grid axes are weighted by prior input weights. The symbols used in the yield and stock status are described in Table 3 of SC18-SA-WP03. </w:t>
      </w:r>
    </w:p>
    <w:p w14:paraId="6B44A11A" w14:textId="77777777" w:rsidR="001C52E0" w:rsidRPr="00586E8A" w:rsidRDefault="001C52E0" w:rsidP="00586E8A">
      <w:pPr>
        <w:widowControl w:val="0"/>
        <w:adjustRightInd w:val="0"/>
        <w:snapToGrid w:val="0"/>
        <w:spacing w:after="0" w:line="240" w:lineRule="auto"/>
        <w:jc w:val="right"/>
        <w:rPr>
          <w:rFonts w:ascii="Times New Roman" w:hAnsi="Times New Roman" w:cs="Times New Roman"/>
          <w:lang w:val="en-GB" w:eastAsia="en-AU"/>
        </w:rPr>
      </w:pPr>
      <w:r w:rsidRPr="00586E8A">
        <w:rPr>
          <w:rFonts w:ascii="Times New Roman" w:hAnsi="Times New Roman" w:cs="Times New Roman"/>
          <w:lang w:val="en-GB" w:eastAsia="en-AU"/>
        </w:rPr>
        <w:t>(</w:t>
      </w:r>
      <w:proofErr w:type="gramStart"/>
      <w:r w:rsidRPr="00586E8A">
        <w:rPr>
          <w:rFonts w:ascii="Times New Roman" w:hAnsi="Times New Roman" w:cs="Times New Roman"/>
          <w:lang w:val="en-GB" w:eastAsia="en-AU"/>
        </w:rPr>
        <w:t>catch</w:t>
      </w:r>
      <w:proofErr w:type="gramEnd"/>
      <w:r w:rsidRPr="00586E8A">
        <w:rPr>
          <w:rFonts w:ascii="Times New Roman" w:hAnsi="Times New Roman" w:cs="Times New Roman"/>
          <w:lang w:val="en-GB" w:eastAsia="en-AU"/>
        </w:rPr>
        <w:t xml:space="preserve"> in </w:t>
      </w:r>
      <w:proofErr w:type="spellStart"/>
      <w:r w:rsidRPr="00586E8A">
        <w:rPr>
          <w:rFonts w:ascii="Times New Roman" w:hAnsi="Times New Roman" w:cs="Times New Roman"/>
          <w:lang w:val="en-GB" w:eastAsia="en-AU"/>
        </w:rPr>
        <w:t>mt</w:t>
      </w:r>
      <w:proofErr w:type="spellEnd"/>
      <w:r w:rsidRPr="00586E8A">
        <w:rPr>
          <w:rFonts w:ascii="Times New Roman" w:hAnsi="Times New Roman" w:cs="Times New Roman"/>
          <w:lang w:val="en-GB" w:eastAsia="en-AU"/>
        </w:rPr>
        <w:t>)</w:t>
      </w: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297"/>
        <w:gridCol w:w="1307"/>
        <w:gridCol w:w="1284"/>
        <w:gridCol w:w="1288"/>
        <w:gridCol w:w="1288"/>
        <w:gridCol w:w="1286"/>
      </w:tblGrid>
      <w:tr w:rsidR="001C52E0" w:rsidRPr="00586E8A" w14:paraId="405F1D25" w14:textId="77777777" w:rsidTr="0057174A">
        <w:tc>
          <w:tcPr>
            <w:tcW w:w="860" w:type="pct"/>
            <w:tcBorders>
              <w:top w:val="single" w:sz="4" w:space="0" w:color="auto"/>
              <w:bottom w:val="single" w:sz="4" w:space="0" w:color="auto"/>
            </w:tcBorders>
            <w:shd w:val="clear" w:color="auto" w:fill="BFBFBF"/>
          </w:tcPr>
          <w:p w14:paraId="42E55C6E"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p>
        </w:tc>
        <w:tc>
          <w:tcPr>
            <w:tcW w:w="693" w:type="pct"/>
            <w:tcBorders>
              <w:top w:val="single" w:sz="4" w:space="0" w:color="auto"/>
              <w:bottom w:val="single" w:sz="4" w:space="0" w:color="auto"/>
            </w:tcBorders>
            <w:shd w:val="clear" w:color="auto" w:fill="BFBFBF"/>
          </w:tcPr>
          <w:p w14:paraId="7417B6B5"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Mean</w:t>
            </w:r>
          </w:p>
        </w:tc>
        <w:tc>
          <w:tcPr>
            <w:tcW w:w="698" w:type="pct"/>
            <w:tcBorders>
              <w:top w:val="single" w:sz="4" w:space="0" w:color="auto"/>
              <w:bottom w:val="single" w:sz="4" w:space="0" w:color="auto"/>
            </w:tcBorders>
            <w:shd w:val="clear" w:color="auto" w:fill="BFBFBF"/>
          </w:tcPr>
          <w:p w14:paraId="4CC93A49"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Median</w:t>
            </w:r>
          </w:p>
        </w:tc>
        <w:tc>
          <w:tcPr>
            <w:tcW w:w="686" w:type="pct"/>
            <w:tcBorders>
              <w:top w:val="single" w:sz="4" w:space="0" w:color="auto"/>
              <w:bottom w:val="single" w:sz="4" w:space="0" w:color="auto"/>
            </w:tcBorders>
            <w:shd w:val="clear" w:color="auto" w:fill="BFBFBF"/>
          </w:tcPr>
          <w:p w14:paraId="5ECDD829"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Min</w:t>
            </w:r>
          </w:p>
        </w:tc>
        <w:tc>
          <w:tcPr>
            <w:tcW w:w="688" w:type="pct"/>
            <w:tcBorders>
              <w:top w:val="single" w:sz="4" w:space="0" w:color="auto"/>
              <w:bottom w:val="single" w:sz="4" w:space="0" w:color="auto"/>
            </w:tcBorders>
            <w:shd w:val="clear" w:color="auto" w:fill="BFBFBF"/>
          </w:tcPr>
          <w:p w14:paraId="19EA8E57"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10%</w:t>
            </w:r>
          </w:p>
        </w:tc>
        <w:tc>
          <w:tcPr>
            <w:tcW w:w="688" w:type="pct"/>
            <w:tcBorders>
              <w:top w:val="single" w:sz="4" w:space="0" w:color="auto"/>
              <w:bottom w:val="single" w:sz="4" w:space="0" w:color="auto"/>
            </w:tcBorders>
            <w:shd w:val="clear" w:color="auto" w:fill="BFBFBF"/>
          </w:tcPr>
          <w:p w14:paraId="5663533B"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90%</w:t>
            </w:r>
          </w:p>
        </w:tc>
        <w:tc>
          <w:tcPr>
            <w:tcW w:w="688" w:type="pct"/>
            <w:tcBorders>
              <w:top w:val="single" w:sz="4" w:space="0" w:color="auto"/>
              <w:bottom w:val="single" w:sz="4" w:space="0" w:color="auto"/>
            </w:tcBorders>
            <w:shd w:val="clear" w:color="auto" w:fill="BFBFBF"/>
          </w:tcPr>
          <w:p w14:paraId="3B7CDE0B" w14:textId="77777777" w:rsidR="001C52E0" w:rsidRPr="00586E8A" w:rsidRDefault="001C52E0" w:rsidP="00586E8A">
            <w:pPr>
              <w:widowControl w:val="0"/>
              <w:adjustRightInd w:val="0"/>
              <w:snapToGrid w:val="0"/>
              <w:jc w:val="center"/>
              <w:rPr>
                <w:rFonts w:ascii="Times New Roman" w:hAnsi="Times New Roman" w:cs="Times New Roman"/>
                <w:b/>
                <w:bCs/>
                <w:lang w:val="en-GB" w:eastAsia="en-AU"/>
              </w:rPr>
            </w:pPr>
            <w:r w:rsidRPr="00586E8A">
              <w:rPr>
                <w:rFonts w:ascii="Times New Roman" w:hAnsi="Times New Roman" w:cs="Times New Roman"/>
                <w:b/>
                <w:bCs/>
                <w:lang w:val="en-GB" w:eastAsia="en-AU"/>
              </w:rPr>
              <w:t>Max</w:t>
            </w:r>
          </w:p>
        </w:tc>
      </w:tr>
      <w:tr w:rsidR="001C52E0" w:rsidRPr="00586E8A" w14:paraId="391BFF76" w14:textId="77777777" w:rsidTr="0057174A">
        <w:tc>
          <w:tcPr>
            <w:tcW w:w="860" w:type="pct"/>
            <w:tcBorders>
              <w:top w:val="single" w:sz="4" w:space="0" w:color="auto"/>
            </w:tcBorders>
          </w:tcPr>
          <w:p w14:paraId="1BEDE36B"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C</w:t>
            </w:r>
            <w:r w:rsidRPr="00586E8A">
              <w:rPr>
                <w:rFonts w:ascii="Times New Roman" w:hAnsi="Times New Roman" w:cs="Times New Roman"/>
                <w:vertAlign w:val="subscript"/>
                <w:lang w:val="en-GB" w:eastAsia="en-AU"/>
              </w:rPr>
              <w:t>latest</w:t>
            </w:r>
            <w:proofErr w:type="spellEnd"/>
          </w:p>
        </w:tc>
        <w:tc>
          <w:tcPr>
            <w:tcW w:w="693" w:type="pct"/>
            <w:tcBorders>
              <w:top w:val="single" w:sz="4" w:space="0" w:color="auto"/>
            </w:tcBorders>
          </w:tcPr>
          <w:p w14:paraId="103A449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5,965</w:t>
            </w:r>
          </w:p>
        </w:tc>
        <w:tc>
          <w:tcPr>
            <w:tcW w:w="698" w:type="pct"/>
            <w:tcBorders>
              <w:top w:val="single" w:sz="4" w:space="0" w:color="auto"/>
            </w:tcBorders>
          </w:tcPr>
          <w:p w14:paraId="2665D14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5671</w:t>
            </w:r>
          </w:p>
        </w:tc>
        <w:tc>
          <w:tcPr>
            <w:tcW w:w="686" w:type="pct"/>
            <w:tcBorders>
              <w:top w:val="single" w:sz="4" w:space="0" w:color="auto"/>
            </w:tcBorders>
          </w:tcPr>
          <w:p w14:paraId="2B19B59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3707</w:t>
            </w:r>
          </w:p>
        </w:tc>
        <w:tc>
          <w:tcPr>
            <w:tcW w:w="688" w:type="pct"/>
            <w:tcBorders>
              <w:top w:val="single" w:sz="4" w:space="0" w:color="auto"/>
            </w:tcBorders>
          </w:tcPr>
          <w:p w14:paraId="1458D2F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3978</w:t>
            </w:r>
          </w:p>
        </w:tc>
        <w:tc>
          <w:tcPr>
            <w:tcW w:w="688" w:type="pct"/>
            <w:tcBorders>
              <w:top w:val="single" w:sz="4" w:space="0" w:color="auto"/>
            </w:tcBorders>
          </w:tcPr>
          <w:p w14:paraId="2EA2883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7593</w:t>
            </w:r>
          </w:p>
        </w:tc>
        <w:tc>
          <w:tcPr>
            <w:tcW w:w="688" w:type="pct"/>
            <w:tcBorders>
              <w:top w:val="single" w:sz="4" w:space="0" w:color="auto"/>
            </w:tcBorders>
          </w:tcPr>
          <w:p w14:paraId="2C50F6E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9601</w:t>
            </w:r>
          </w:p>
        </w:tc>
      </w:tr>
      <w:tr w:rsidR="001C52E0" w:rsidRPr="00586E8A" w14:paraId="4105E3ED" w14:textId="77777777" w:rsidTr="0057174A">
        <w:tc>
          <w:tcPr>
            <w:tcW w:w="860" w:type="pct"/>
          </w:tcPr>
          <w:p w14:paraId="02243706"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C</w:t>
            </w:r>
            <w:r w:rsidRPr="00586E8A">
              <w:rPr>
                <w:rFonts w:ascii="Times New Roman" w:hAnsi="Times New Roman" w:cs="Times New Roman"/>
                <w:vertAlign w:val="subscript"/>
                <w:lang w:val="en-GB" w:eastAsia="en-AU"/>
              </w:rPr>
              <w:t>recent</w:t>
            </w:r>
          </w:p>
        </w:tc>
        <w:tc>
          <w:tcPr>
            <w:tcW w:w="693" w:type="pct"/>
          </w:tcPr>
          <w:p w14:paraId="425F9CE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6,912</w:t>
            </w:r>
          </w:p>
        </w:tc>
        <w:tc>
          <w:tcPr>
            <w:tcW w:w="698" w:type="pct"/>
          </w:tcPr>
          <w:p w14:paraId="6912F47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6744</w:t>
            </w:r>
          </w:p>
        </w:tc>
        <w:tc>
          <w:tcPr>
            <w:tcW w:w="686" w:type="pct"/>
          </w:tcPr>
          <w:p w14:paraId="1739E3C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4322</w:t>
            </w:r>
          </w:p>
        </w:tc>
        <w:tc>
          <w:tcPr>
            <w:tcW w:w="688" w:type="pct"/>
          </w:tcPr>
          <w:p w14:paraId="22E3517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4596</w:t>
            </w:r>
          </w:p>
        </w:tc>
        <w:tc>
          <w:tcPr>
            <w:tcW w:w="688" w:type="pct"/>
          </w:tcPr>
          <w:p w14:paraId="05B9CAE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8926</w:t>
            </w:r>
          </w:p>
        </w:tc>
        <w:tc>
          <w:tcPr>
            <w:tcW w:w="688" w:type="pct"/>
          </w:tcPr>
          <w:p w14:paraId="43A8E27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9577</w:t>
            </w:r>
          </w:p>
        </w:tc>
      </w:tr>
      <w:tr w:rsidR="001C52E0" w:rsidRPr="00586E8A" w14:paraId="32D7078D" w14:textId="77777777" w:rsidTr="0057174A">
        <w:tc>
          <w:tcPr>
            <w:tcW w:w="860" w:type="pct"/>
          </w:tcPr>
          <w:p w14:paraId="1A05C102"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MSY</w:t>
            </w:r>
          </w:p>
        </w:tc>
        <w:tc>
          <w:tcPr>
            <w:tcW w:w="693" w:type="pct"/>
          </w:tcPr>
          <w:p w14:paraId="69CA2F4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11,413</w:t>
            </w:r>
          </w:p>
        </w:tc>
        <w:tc>
          <w:tcPr>
            <w:tcW w:w="698" w:type="pct"/>
          </w:tcPr>
          <w:p w14:paraId="0C83E66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9993</w:t>
            </w:r>
          </w:p>
        </w:tc>
        <w:tc>
          <w:tcPr>
            <w:tcW w:w="686" w:type="pct"/>
          </w:tcPr>
          <w:p w14:paraId="3B2A8E5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8968</w:t>
            </w:r>
          </w:p>
        </w:tc>
        <w:tc>
          <w:tcPr>
            <w:tcW w:w="688" w:type="pct"/>
          </w:tcPr>
          <w:p w14:paraId="6AA3EE7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9313</w:t>
            </w:r>
          </w:p>
        </w:tc>
        <w:tc>
          <w:tcPr>
            <w:tcW w:w="688" w:type="pct"/>
          </w:tcPr>
          <w:p w14:paraId="2E00D21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16333</w:t>
            </w:r>
          </w:p>
        </w:tc>
        <w:tc>
          <w:tcPr>
            <w:tcW w:w="688" w:type="pct"/>
          </w:tcPr>
          <w:p w14:paraId="70882A9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25629</w:t>
            </w:r>
          </w:p>
        </w:tc>
      </w:tr>
      <w:tr w:rsidR="001C52E0" w:rsidRPr="00586E8A" w14:paraId="77A0400E" w14:textId="77777777" w:rsidTr="0057174A">
        <w:tc>
          <w:tcPr>
            <w:tcW w:w="860" w:type="pct"/>
          </w:tcPr>
          <w:p w14:paraId="7E496949"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0</w:t>
            </w:r>
          </w:p>
        </w:tc>
        <w:tc>
          <w:tcPr>
            <w:tcW w:w="693" w:type="pct"/>
          </w:tcPr>
          <w:p w14:paraId="6159172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22,772</w:t>
            </w:r>
          </w:p>
        </w:tc>
        <w:tc>
          <w:tcPr>
            <w:tcW w:w="698" w:type="pct"/>
          </w:tcPr>
          <w:p w14:paraId="31D9C99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20603</w:t>
            </w:r>
          </w:p>
        </w:tc>
        <w:tc>
          <w:tcPr>
            <w:tcW w:w="686" w:type="pct"/>
          </w:tcPr>
          <w:p w14:paraId="0B16CBC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15686</w:t>
            </w:r>
          </w:p>
        </w:tc>
        <w:tc>
          <w:tcPr>
            <w:tcW w:w="688" w:type="pct"/>
          </w:tcPr>
          <w:p w14:paraId="0494F7D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18524</w:t>
            </w:r>
          </w:p>
        </w:tc>
        <w:tc>
          <w:tcPr>
            <w:tcW w:w="688" w:type="pct"/>
          </w:tcPr>
          <w:p w14:paraId="61F5162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32263</w:t>
            </w:r>
          </w:p>
        </w:tc>
        <w:tc>
          <w:tcPr>
            <w:tcW w:w="688" w:type="pct"/>
          </w:tcPr>
          <w:p w14:paraId="125F933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53503</w:t>
            </w:r>
          </w:p>
        </w:tc>
      </w:tr>
      <w:tr w:rsidR="001C52E0" w:rsidRPr="00586E8A" w14:paraId="2C507F40" w14:textId="77777777" w:rsidTr="0057174A">
        <w:tc>
          <w:tcPr>
            <w:tcW w:w="860" w:type="pct"/>
          </w:tcPr>
          <w:p w14:paraId="59C6626E"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F=0</w:t>
            </w:r>
          </w:p>
        </w:tc>
        <w:tc>
          <w:tcPr>
            <w:tcW w:w="693" w:type="pct"/>
          </w:tcPr>
          <w:p w14:paraId="2ABAEDD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25,894</w:t>
            </w:r>
          </w:p>
        </w:tc>
        <w:tc>
          <w:tcPr>
            <w:tcW w:w="698" w:type="pct"/>
          </w:tcPr>
          <w:p w14:paraId="6043A08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22658</w:t>
            </w:r>
          </w:p>
        </w:tc>
        <w:tc>
          <w:tcPr>
            <w:tcW w:w="686" w:type="pct"/>
          </w:tcPr>
          <w:p w14:paraId="1D716CA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17559</w:t>
            </w:r>
          </w:p>
        </w:tc>
        <w:tc>
          <w:tcPr>
            <w:tcW w:w="688" w:type="pct"/>
          </w:tcPr>
          <w:p w14:paraId="2362ED5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20161</w:t>
            </w:r>
          </w:p>
        </w:tc>
        <w:tc>
          <w:tcPr>
            <w:tcW w:w="688" w:type="pct"/>
          </w:tcPr>
          <w:p w14:paraId="2537B07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38033</w:t>
            </w:r>
          </w:p>
        </w:tc>
        <w:tc>
          <w:tcPr>
            <w:tcW w:w="688" w:type="pct"/>
          </w:tcPr>
          <w:p w14:paraId="6479B63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66434</w:t>
            </w:r>
          </w:p>
        </w:tc>
      </w:tr>
      <w:tr w:rsidR="001C52E0" w:rsidRPr="00586E8A" w14:paraId="61877F5D" w14:textId="77777777" w:rsidTr="0057174A">
        <w:tc>
          <w:tcPr>
            <w:tcW w:w="860" w:type="pct"/>
          </w:tcPr>
          <w:p w14:paraId="272E8C39"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MSY</w:t>
            </w:r>
          </w:p>
        </w:tc>
        <w:tc>
          <w:tcPr>
            <w:tcW w:w="693" w:type="pct"/>
          </w:tcPr>
          <w:p w14:paraId="3FC6359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11,104</w:t>
            </w:r>
          </w:p>
        </w:tc>
        <w:tc>
          <w:tcPr>
            <w:tcW w:w="698" w:type="pct"/>
          </w:tcPr>
          <w:p w14:paraId="32035F6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9985</w:t>
            </w:r>
          </w:p>
        </w:tc>
        <w:tc>
          <w:tcPr>
            <w:tcW w:w="686" w:type="pct"/>
          </w:tcPr>
          <w:p w14:paraId="467032C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7564</w:t>
            </w:r>
          </w:p>
        </w:tc>
        <w:tc>
          <w:tcPr>
            <w:tcW w:w="688" w:type="pct"/>
          </w:tcPr>
          <w:p w14:paraId="595820B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9008</w:t>
            </w:r>
          </w:p>
        </w:tc>
        <w:tc>
          <w:tcPr>
            <w:tcW w:w="688" w:type="pct"/>
          </w:tcPr>
          <w:p w14:paraId="24EC812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15854</w:t>
            </w:r>
          </w:p>
        </w:tc>
        <w:tc>
          <w:tcPr>
            <w:tcW w:w="688" w:type="pct"/>
          </w:tcPr>
          <w:p w14:paraId="20225E4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26684</w:t>
            </w:r>
          </w:p>
        </w:tc>
      </w:tr>
      <w:tr w:rsidR="001C52E0" w:rsidRPr="00586E8A" w14:paraId="2B65375D" w14:textId="77777777" w:rsidTr="0057174A">
        <w:tc>
          <w:tcPr>
            <w:tcW w:w="860" w:type="pct"/>
          </w:tcPr>
          <w:p w14:paraId="262E0E1E"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latest</w:t>
            </w:r>
            <w:proofErr w:type="spellEnd"/>
          </w:p>
        </w:tc>
        <w:tc>
          <w:tcPr>
            <w:tcW w:w="693" w:type="pct"/>
          </w:tcPr>
          <w:p w14:paraId="4FE06DF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18,420</w:t>
            </w:r>
          </w:p>
        </w:tc>
        <w:tc>
          <w:tcPr>
            <w:tcW w:w="698" w:type="pct"/>
          </w:tcPr>
          <w:p w14:paraId="6FE85B9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17904</w:t>
            </w:r>
          </w:p>
        </w:tc>
        <w:tc>
          <w:tcPr>
            <w:tcW w:w="686" w:type="pct"/>
          </w:tcPr>
          <w:p w14:paraId="400FE55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12973</w:t>
            </w:r>
          </w:p>
        </w:tc>
        <w:tc>
          <w:tcPr>
            <w:tcW w:w="688" w:type="pct"/>
          </w:tcPr>
          <w:p w14:paraId="3CDEEB5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15902</w:t>
            </w:r>
          </w:p>
        </w:tc>
        <w:tc>
          <w:tcPr>
            <w:tcW w:w="688" w:type="pct"/>
          </w:tcPr>
          <w:p w14:paraId="4EF7382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20424</w:t>
            </w:r>
          </w:p>
        </w:tc>
        <w:tc>
          <w:tcPr>
            <w:tcW w:w="688" w:type="pct"/>
          </w:tcPr>
          <w:p w14:paraId="7D3312C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38004</w:t>
            </w:r>
          </w:p>
        </w:tc>
      </w:tr>
      <w:tr w:rsidR="001C52E0" w:rsidRPr="00586E8A" w14:paraId="6B5ADF7E" w14:textId="77777777" w:rsidTr="0057174A">
        <w:tc>
          <w:tcPr>
            <w:tcW w:w="860" w:type="pct"/>
          </w:tcPr>
          <w:p w14:paraId="6509AC0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recent</w:t>
            </w:r>
            <w:proofErr w:type="spellEnd"/>
          </w:p>
        </w:tc>
        <w:tc>
          <w:tcPr>
            <w:tcW w:w="693" w:type="pct"/>
          </w:tcPr>
          <w:p w14:paraId="3F1A2A3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16,344</w:t>
            </w:r>
          </w:p>
        </w:tc>
        <w:tc>
          <w:tcPr>
            <w:tcW w:w="698" w:type="pct"/>
          </w:tcPr>
          <w:p w14:paraId="69D2625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15907</w:t>
            </w:r>
          </w:p>
        </w:tc>
        <w:tc>
          <w:tcPr>
            <w:tcW w:w="686" w:type="pct"/>
          </w:tcPr>
          <w:p w14:paraId="4714503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11320</w:t>
            </w:r>
          </w:p>
        </w:tc>
        <w:tc>
          <w:tcPr>
            <w:tcW w:w="688" w:type="pct"/>
          </w:tcPr>
          <w:p w14:paraId="7156444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14000</w:t>
            </w:r>
          </w:p>
        </w:tc>
        <w:tc>
          <w:tcPr>
            <w:tcW w:w="688" w:type="pct"/>
          </w:tcPr>
          <w:p w14:paraId="1586C3D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17670</w:t>
            </w:r>
          </w:p>
        </w:tc>
        <w:tc>
          <w:tcPr>
            <w:tcW w:w="688" w:type="pct"/>
          </w:tcPr>
          <w:p w14:paraId="6E13095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33654</w:t>
            </w:r>
          </w:p>
        </w:tc>
      </w:tr>
      <w:tr w:rsidR="001C52E0" w:rsidRPr="00586E8A" w14:paraId="7E7B20F3" w14:textId="77777777" w:rsidTr="0057174A">
        <w:tc>
          <w:tcPr>
            <w:tcW w:w="860" w:type="pct"/>
          </w:tcPr>
          <w:p w14:paraId="183CD34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0</w:t>
            </w:r>
          </w:p>
        </w:tc>
        <w:tc>
          <w:tcPr>
            <w:tcW w:w="693" w:type="pct"/>
          </w:tcPr>
          <w:p w14:paraId="7082BB1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0.85</w:t>
            </w:r>
          </w:p>
        </w:tc>
        <w:tc>
          <w:tcPr>
            <w:tcW w:w="698" w:type="pct"/>
          </w:tcPr>
          <w:p w14:paraId="625028D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0.90</w:t>
            </w:r>
          </w:p>
        </w:tc>
        <w:tc>
          <w:tcPr>
            <w:tcW w:w="686" w:type="pct"/>
          </w:tcPr>
          <w:p w14:paraId="383B7EA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0.42</w:t>
            </w:r>
          </w:p>
        </w:tc>
        <w:tc>
          <w:tcPr>
            <w:tcW w:w="688" w:type="pct"/>
          </w:tcPr>
          <w:p w14:paraId="5D7759A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0.49</w:t>
            </w:r>
          </w:p>
        </w:tc>
        <w:tc>
          <w:tcPr>
            <w:tcW w:w="688" w:type="pct"/>
          </w:tcPr>
          <w:p w14:paraId="46B785A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1.01</w:t>
            </w:r>
          </w:p>
        </w:tc>
        <w:tc>
          <w:tcPr>
            <w:tcW w:w="688" w:type="pct"/>
          </w:tcPr>
          <w:p w14:paraId="0990438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1.19</w:t>
            </w:r>
          </w:p>
        </w:tc>
      </w:tr>
      <w:tr w:rsidR="001C52E0" w:rsidRPr="00586E8A" w14:paraId="478A280A" w14:textId="77777777" w:rsidTr="0057174A">
        <w:tc>
          <w:tcPr>
            <w:tcW w:w="860" w:type="pct"/>
          </w:tcPr>
          <w:p w14:paraId="54AC1019"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0</w:t>
            </w:r>
          </w:p>
        </w:tc>
        <w:tc>
          <w:tcPr>
            <w:tcW w:w="693" w:type="pct"/>
          </w:tcPr>
          <w:p w14:paraId="67F278C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0.76</w:t>
            </w:r>
          </w:p>
        </w:tc>
        <w:tc>
          <w:tcPr>
            <w:tcW w:w="698" w:type="pct"/>
          </w:tcPr>
          <w:p w14:paraId="5C115BF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0.80</w:t>
            </w:r>
          </w:p>
        </w:tc>
        <w:tc>
          <w:tcPr>
            <w:tcW w:w="686" w:type="pct"/>
          </w:tcPr>
          <w:p w14:paraId="2102DAF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0.37</w:t>
            </w:r>
          </w:p>
        </w:tc>
        <w:tc>
          <w:tcPr>
            <w:tcW w:w="688" w:type="pct"/>
          </w:tcPr>
          <w:p w14:paraId="0598133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0.43</w:t>
            </w:r>
          </w:p>
        </w:tc>
        <w:tc>
          <w:tcPr>
            <w:tcW w:w="688" w:type="pct"/>
          </w:tcPr>
          <w:p w14:paraId="3625459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0.90</w:t>
            </w:r>
          </w:p>
        </w:tc>
        <w:tc>
          <w:tcPr>
            <w:tcW w:w="688" w:type="pct"/>
          </w:tcPr>
          <w:p w14:paraId="4EEBCFA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1.05</w:t>
            </w:r>
          </w:p>
        </w:tc>
      </w:tr>
      <w:tr w:rsidR="001C52E0" w:rsidRPr="00586E8A" w14:paraId="05F6ADCB" w14:textId="77777777" w:rsidTr="0057174A">
        <w:tc>
          <w:tcPr>
            <w:tcW w:w="860" w:type="pct"/>
          </w:tcPr>
          <w:p w14:paraId="1A2ED077"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F=0</w:t>
            </w:r>
          </w:p>
        </w:tc>
        <w:tc>
          <w:tcPr>
            <w:tcW w:w="693" w:type="pct"/>
          </w:tcPr>
          <w:p w14:paraId="11002DF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0.76</w:t>
            </w:r>
          </w:p>
        </w:tc>
        <w:tc>
          <w:tcPr>
            <w:tcW w:w="698" w:type="pct"/>
          </w:tcPr>
          <w:p w14:paraId="4EF104B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0.79</w:t>
            </w:r>
          </w:p>
        </w:tc>
        <w:tc>
          <w:tcPr>
            <w:tcW w:w="686" w:type="pct"/>
          </w:tcPr>
          <w:p w14:paraId="0F4E0CF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0.32</w:t>
            </w:r>
          </w:p>
        </w:tc>
        <w:tc>
          <w:tcPr>
            <w:tcW w:w="688" w:type="pct"/>
          </w:tcPr>
          <w:p w14:paraId="405318B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0.43</w:t>
            </w:r>
          </w:p>
        </w:tc>
        <w:tc>
          <w:tcPr>
            <w:tcW w:w="688" w:type="pct"/>
          </w:tcPr>
          <w:p w14:paraId="4EE83A4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0.93</w:t>
            </w:r>
          </w:p>
        </w:tc>
        <w:tc>
          <w:tcPr>
            <w:tcW w:w="688" w:type="pct"/>
          </w:tcPr>
          <w:p w14:paraId="3E0FFA0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1.29</w:t>
            </w:r>
          </w:p>
        </w:tc>
      </w:tr>
      <w:tr w:rsidR="001C52E0" w:rsidRPr="00586E8A" w14:paraId="0F589563" w14:textId="77777777" w:rsidTr="0057174A">
        <w:tc>
          <w:tcPr>
            <w:tcW w:w="860" w:type="pct"/>
          </w:tcPr>
          <w:p w14:paraId="6375E56A"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F=0</w:t>
            </w:r>
          </w:p>
        </w:tc>
        <w:tc>
          <w:tcPr>
            <w:tcW w:w="693" w:type="pct"/>
          </w:tcPr>
          <w:p w14:paraId="3CEEF4D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0.67</w:t>
            </w:r>
          </w:p>
        </w:tc>
        <w:tc>
          <w:tcPr>
            <w:tcW w:w="698" w:type="pct"/>
          </w:tcPr>
          <w:p w14:paraId="3633B41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0.71</w:t>
            </w:r>
          </w:p>
        </w:tc>
        <w:tc>
          <w:tcPr>
            <w:tcW w:w="686" w:type="pct"/>
          </w:tcPr>
          <w:p w14:paraId="788FF9D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0.29</w:t>
            </w:r>
          </w:p>
        </w:tc>
        <w:tc>
          <w:tcPr>
            <w:tcW w:w="688" w:type="pct"/>
          </w:tcPr>
          <w:p w14:paraId="466FBA9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0.37</w:t>
            </w:r>
          </w:p>
        </w:tc>
        <w:tc>
          <w:tcPr>
            <w:tcW w:w="688" w:type="pct"/>
          </w:tcPr>
          <w:p w14:paraId="4757044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0.82</w:t>
            </w:r>
          </w:p>
        </w:tc>
        <w:tc>
          <w:tcPr>
            <w:tcW w:w="688" w:type="pct"/>
          </w:tcPr>
          <w:p w14:paraId="704B2F0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1.15</w:t>
            </w:r>
          </w:p>
        </w:tc>
      </w:tr>
      <w:tr w:rsidR="001C52E0" w:rsidRPr="00586E8A" w14:paraId="4E6FDF0F" w14:textId="77777777" w:rsidTr="0057174A">
        <w:tc>
          <w:tcPr>
            <w:tcW w:w="860" w:type="pct"/>
          </w:tcPr>
          <w:p w14:paraId="5467A917"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MSY</w:t>
            </w:r>
          </w:p>
        </w:tc>
        <w:tc>
          <w:tcPr>
            <w:tcW w:w="693" w:type="pct"/>
          </w:tcPr>
          <w:p w14:paraId="27CEC50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1.75</w:t>
            </w:r>
          </w:p>
        </w:tc>
        <w:tc>
          <w:tcPr>
            <w:tcW w:w="698" w:type="pct"/>
          </w:tcPr>
          <w:p w14:paraId="426A5A9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1.84</w:t>
            </w:r>
          </w:p>
        </w:tc>
        <w:tc>
          <w:tcPr>
            <w:tcW w:w="686" w:type="pct"/>
          </w:tcPr>
          <w:p w14:paraId="0521342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0.85</w:t>
            </w:r>
          </w:p>
        </w:tc>
        <w:tc>
          <w:tcPr>
            <w:tcW w:w="688" w:type="pct"/>
          </w:tcPr>
          <w:p w14:paraId="65DAC74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1.00</w:t>
            </w:r>
          </w:p>
        </w:tc>
        <w:tc>
          <w:tcPr>
            <w:tcW w:w="688" w:type="pct"/>
          </w:tcPr>
          <w:p w14:paraId="151D074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2.10</w:t>
            </w:r>
          </w:p>
        </w:tc>
        <w:tc>
          <w:tcPr>
            <w:tcW w:w="688" w:type="pct"/>
          </w:tcPr>
          <w:p w14:paraId="15ADFA8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2.47</w:t>
            </w:r>
          </w:p>
        </w:tc>
      </w:tr>
      <w:tr w:rsidR="001C52E0" w:rsidRPr="00586E8A" w14:paraId="12B80A68" w14:textId="77777777" w:rsidTr="0057174A">
        <w:tc>
          <w:tcPr>
            <w:tcW w:w="860" w:type="pct"/>
          </w:tcPr>
          <w:p w14:paraId="34CD2521"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/SB</w:t>
            </w:r>
            <w:r w:rsidRPr="00586E8A">
              <w:rPr>
                <w:rFonts w:ascii="Times New Roman" w:hAnsi="Times New Roman" w:cs="Times New Roman"/>
                <w:vertAlign w:val="subscript"/>
                <w:lang w:val="en-GB" w:eastAsia="en-AU"/>
              </w:rPr>
              <w:t>MSY</w:t>
            </w:r>
          </w:p>
        </w:tc>
        <w:tc>
          <w:tcPr>
            <w:tcW w:w="693" w:type="pct"/>
          </w:tcPr>
          <w:p w14:paraId="3D16454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1.55</w:t>
            </w:r>
          </w:p>
        </w:tc>
        <w:tc>
          <w:tcPr>
            <w:tcW w:w="698" w:type="pct"/>
          </w:tcPr>
          <w:p w14:paraId="1A6D3414"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1.64</w:t>
            </w:r>
          </w:p>
        </w:tc>
        <w:tc>
          <w:tcPr>
            <w:tcW w:w="686" w:type="pct"/>
          </w:tcPr>
          <w:p w14:paraId="6A7390F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0.76</w:t>
            </w:r>
          </w:p>
        </w:tc>
        <w:tc>
          <w:tcPr>
            <w:tcW w:w="688" w:type="pct"/>
          </w:tcPr>
          <w:p w14:paraId="6E8D72A7"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0.88</w:t>
            </w:r>
          </w:p>
        </w:tc>
        <w:tc>
          <w:tcPr>
            <w:tcW w:w="688" w:type="pct"/>
          </w:tcPr>
          <w:p w14:paraId="4374547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1.87</w:t>
            </w:r>
          </w:p>
        </w:tc>
        <w:tc>
          <w:tcPr>
            <w:tcW w:w="688" w:type="pct"/>
          </w:tcPr>
          <w:p w14:paraId="60D97DB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2.19</w:t>
            </w:r>
          </w:p>
        </w:tc>
      </w:tr>
      <w:tr w:rsidR="001C52E0" w:rsidRPr="00586E8A" w14:paraId="67CB8845" w14:textId="77777777" w:rsidTr="0057174A">
        <w:tc>
          <w:tcPr>
            <w:tcW w:w="860" w:type="pct"/>
          </w:tcPr>
          <w:p w14:paraId="3973EB1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MSY</w:t>
            </w:r>
          </w:p>
        </w:tc>
        <w:tc>
          <w:tcPr>
            <w:tcW w:w="693" w:type="pct"/>
          </w:tcPr>
          <w:p w14:paraId="2F0F54E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0.144</w:t>
            </w:r>
          </w:p>
        </w:tc>
        <w:tc>
          <w:tcPr>
            <w:tcW w:w="698" w:type="pct"/>
          </w:tcPr>
          <w:p w14:paraId="7A3929E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0.142</w:t>
            </w:r>
          </w:p>
        </w:tc>
        <w:tc>
          <w:tcPr>
            <w:tcW w:w="686" w:type="pct"/>
          </w:tcPr>
          <w:p w14:paraId="7E09C37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0.134</w:t>
            </w:r>
          </w:p>
        </w:tc>
        <w:tc>
          <w:tcPr>
            <w:tcW w:w="688" w:type="pct"/>
          </w:tcPr>
          <w:p w14:paraId="579D3EF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0.136</w:t>
            </w:r>
          </w:p>
        </w:tc>
        <w:tc>
          <w:tcPr>
            <w:tcW w:w="688" w:type="pct"/>
          </w:tcPr>
          <w:p w14:paraId="4686731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0.158</w:t>
            </w:r>
          </w:p>
        </w:tc>
        <w:tc>
          <w:tcPr>
            <w:tcW w:w="688" w:type="pct"/>
          </w:tcPr>
          <w:p w14:paraId="2EFAD509"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0.181</w:t>
            </w:r>
          </w:p>
        </w:tc>
      </w:tr>
      <w:tr w:rsidR="001C52E0" w:rsidRPr="00586E8A" w14:paraId="5270B5FA" w14:textId="77777777" w:rsidTr="0057174A">
        <w:tc>
          <w:tcPr>
            <w:tcW w:w="860" w:type="pct"/>
          </w:tcPr>
          <w:p w14:paraId="06379C48"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lim,AS</w:t>
            </w:r>
            <w:proofErr w:type="spellEnd"/>
            <w:proofErr w:type="gramEnd"/>
          </w:p>
        </w:tc>
        <w:tc>
          <w:tcPr>
            <w:tcW w:w="693" w:type="pct"/>
          </w:tcPr>
          <w:p w14:paraId="1E73282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0.228</w:t>
            </w:r>
          </w:p>
        </w:tc>
        <w:tc>
          <w:tcPr>
            <w:tcW w:w="698" w:type="pct"/>
          </w:tcPr>
          <w:p w14:paraId="42D7801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0.225</w:t>
            </w:r>
          </w:p>
        </w:tc>
        <w:tc>
          <w:tcPr>
            <w:tcW w:w="686" w:type="pct"/>
          </w:tcPr>
          <w:p w14:paraId="605A914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0.211</w:t>
            </w:r>
          </w:p>
        </w:tc>
        <w:tc>
          <w:tcPr>
            <w:tcW w:w="688" w:type="pct"/>
          </w:tcPr>
          <w:p w14:paraId="0D8357B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0.214</w:t>
            </w:r>
          </w:p>
        </w:tc>
        <w:tc>
          <w:tcPr>
            <w:tcW w:w="688" w:type="pct"/>
          </w:tcPr>
          <w:p w14:paraId="02C8A694"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0.248</w:t>
            </w:r>
          </w:p>
        </w:tc>
        <w:tc>
          <w:tcPr>
            <w:tcW w:w="688" w:type="pct"/>
          </w:tcPr>
          <w:p w14:paraId="66AB3DD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0.291</w:t>
            </w:r>
          </w:p>
        </w:tc>
      </w:tr>
      <w:tr w:rsidR="001C52E0" w:rsidRPr="00586E8A" w14:paraId="16117D9F" w14:textId="77777777" w:rsidTr="0057174A">
        <w:tc>
          <w:tcPr>
            <w:tcW w:w="860" w:type="pct"/>
          </w:tcPr>
          <w:p w14:paraId="49022A3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crash,AS</w:t>
            </w:r>
            <w:proofErr w:type="spellEnd"/>
            <w:proofErr w:type="gramEnd"/>
          </w:p>
        </w:tc>
        <w:tc>
          <w:tcPr>
            <w:tcW w:w="693" w:type="pct"/>
          </w:tcPr>
          <w:p w14:paraId="731B27A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0.325</w:t>
            </w:r>
          </w:p>
        </w:tc>
        <w:tc>
          <w:tcPr>
            <w:tcW w:w="698" w:type="pct"/>
          </w:tcPr>
          <w:p w14:paraId="73CCDBB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0.320</w:t>
            </w:r>
          </w:p>
        </w:tc>
        <w:tc>
          <w:tcPr>
            <w:tcW w:w="686" w:type="pct"/>
          </w:tcPr>
          <w:p w14:paraId="15155E7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0.299</w:t>
            </w:r>
          </w:p>
        </w:tc>
        <w:tc>
          <w:tcPr>
            <w:tcW w:w="688" w:type="pct"/>
          </w:tcPr>
          <w:p w14:paraId="6FD689A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0.304</w:t>
            </w:r>
          </w:p>
        </w:tc>
        <w:tc>
          <w:tcPr>
            <w:tcW w:w="688" w:type="pct"/>
          </w:tcPr>
          <w:p w14:paraId="146B6D8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0.351</w:t>
            </w:r>
          </w:p>
        </w:tc>
        <w:tc>
          <w:tcPr>
            <w:tcW w:w="688" w:type="pct"/>
          </w:tcPr>
          <w:p w14:paraId="7855FE8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0.419</w:t>
            </w:r>
          </w:p>
        </w:tc>
      </w:tr>
      <w:tr w:rsidR="001C52E0" w:rsidRPr="00586E8A" w14:paraId="515F356A" w14:textId="77777777" w:rsidTr="0057174A">
        <w:tc>
          <w:tcPr>
            <w:tcW w:w="860" w:type="pct"/>
          </w:tcPr>
          <w:p w14:paraId="380CFFD3"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latest</w:t>
            </w:r>
            <w:proofErr w:type="spellEnd"/>
          </w:p>
        </w:tc>
        <w:tc>
          <w:tcPr>
            <w:tcW w:w="693" w:type="pct"/>
          </w:tcPr>
          <w:p w14:paraId="65BF0AE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0.073</w:t>
            </w:r>
          </w:p>
        </w:tc>
        <w:tc>
          <w:tcPr>
            <w:tcW w:w="698" w:type="pct"/>
          </w:tcPr>
          <w:p w14:paraId="6D133F0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0.072</w:t>
            </w:r>
          </w:p>
        </w:tc>
        <w:tc>
          <w:tcPr>
            <w:tcW w:w="686" w:type="pct"/>
          </w:tcPr>
          <w:p w14:paraId="1665BEF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0.039</w:t>
            </w:r>
          </w:p>
        </w:tc>
        <w:tc>
          <w:tcPr>
            <w:tcW w:w="688" w:type="pct"/>
          </w:tcPr>
          <w:p w14:paraId="585BF84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0.051</w:t>
            </w:r>
          </w:p>
        </w:tc>
        <w:tc>
          <w:tcPr>
            <w:tcW w:w="688" w:type="pct"/>
          </w:tcPr>
          <w:p w14:paraId="5B4F8604"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0.093</w:t>
            </w:r>
          </w:p>
        </w:tc>
        <w:tc>
          <w:tcPr>
            <w:tcW w:w="688" w:type="pct"/>
          </w:tcPr>
          <w:p w14:paraId="14D52E5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0.120</w:t>
            </w:r>
          </w:p>
        </w:tc>
      </w:tr>
      <w:tr w:rsidR="001C52E0" w:rsidRPr="00586E8A" w14:paraId="6572F089" w14:textId="77777777" w:rsidTr="0057174A">
        <w:tc>
          <w:tcPr>
            <w:tcW w:w="860" w:type="pct"/>
          </w:tcPr>
          <w:p w14:paraId="4C9108B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recent</w:t>
            </w:r>
            <w:proofErr w:type="spellEnd"/>
          </w:p>
        </w:tc>
        <w:tc>
          <w:tcPr>
            <w:tcW w:w="693" w:type="pct"/>
          </w:tcPr>
          <w:p w14:paraId="7308FD5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0.094</w:t>
            </w:r>
          </w:p>
        </w:tc>
        <w:tc>
          <w:tcPr>
            <w:tcW w:w="698" w:type="pct"/>
          </w:tcPr>
          <w:p w14:paraId="3AEC0C2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0.094</w:t>
            </w:r>
          </w:p>
        </w:tc>
        <w:tc>
          <w:tcPr>
            <w:tcW w:w="686" w:type="pct"/>
          </w:tcPr>
          <w:p w14:paraId="0C9A553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0.048</w:t>
            </w:r>
          </w:p>
        </w:tc>
        <w:tc>
          <w:tcPr>
            <w:tcW w:w="688" w:type="pct"/>
          </w:tcPr>
          <w:p w14:paraId="17C4B35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0.065</w:t>
            </w:r>
          </w:p>
        </w:tc>
        <w:tc>
          <w:tcPr>
            <w:tcW w:w="688" w:type="pct"/>
          </w:tcPr>
          <w:p w14:paraId="7020001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0.117</w:t>
            </w:r>
          </w:p>
        </w:tc>
        <w:tc>
          <w:tcPr>
            <w:tcW w:w="688" w:type="pct"/>
          </w:tcPr>
          <w:p w14:paraId="16AF7D9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0.160</w:t>
            </w:r>
          </w:p>
        </w:tc>
      </w:tr>
      <w:tr w:rsidR="001C52E0" w:rsidRPr="00586E8A" w14:paraId="5D326875" w14:textId="77777777" w:rsidTr="0057174A">
        <w:tc>
          <w:tcPr>
            <w:tcW w:w="860" w:type="pct"/>
          </w:tcPr>
          <w:p w14:paraId="0582A552"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MSY</w:t>
            </w:r>
          </w:p>
        </w:tc>
        <w:tc>
          <w:tcPr>
            <w:tcW w:w="693" w:type="pct"/>
          </w:tcPr>
          <w:p w14:paraId="000CDD5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0.51</w:t>
            </w:r>
          </w:p>
        </w:tc>
        <w:tc>
          <w:tcPr>
            <w:tcW w:w="698" w:type="pct"/>
          </w:tcPr>
          <w:p w14:paraId="0893D59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0.52</w:t>
            </w:r>
          </w:p>
        </w:tc>
        <w:tc>
          <w:tcPr>
            <w:tcW w:w="686" w:type="pct"/>
          </w:tcPr>
          <w:p w14:paraId="2A7658F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0.24</w:t>
            </w:r>
          </w:p>
        </w:tc>
        <w:tc>
          <w:tcPr>
            <w:tcW w:w="688" w:type="pct"/>
          </w:tcPr>
          <w:p w14:paraId="194042C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0.35</w:t>
            </w:r>
          </w:p>
        </w:tc>
        <w:tc>
          <w:tcPr>
            <w:tcW w:w="688" w:type="pct"/>
          </w:tcPr>
          <w:p w14:paraId="514DEF3B"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0.67</w:t>
            </w:r>
          </w:p>
        </w:tc>
        <w:tc>
          <w:tcPr>
            <w:tcW w:w="688" w:type="pct"/>
          </w:tcPr>
          <w:p w14:paraId="35DF93B5"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0.78</w:t>
            </w:r>
          </w:p>
        </w:tc>
      </w:tr>
      <w:tr w:rsidR="001C52E0" w:rsidRPr="00586E8A" w14:paraId="1E9C41EB" w14:textId="77777777" w:rsidTr="0057174A">
        <w:tc>
          <w:tcPr>
            <w:tcW w:w="860" w:type="pct"/>
          </w:tcPr>
          <w:p w14:paraId="71DE4B4F"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MSY</w:t>
            </w:r>
          </w:p>
        </w:tc>
        <w:tc>
          <w:tcPr>
            <w:tcW w:w="693" w:type="pct"/>
          </w:tcPr>
          <w:p w14:paraId="77FC0AB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0.65</w:t>
            </w:r>
          </w:p>
        </w:tc>
        <w:tc>
          <w:tcPr>
            <w:tcW w:w="698" w:type="pct"/>
          </w:tcPr>
          <w:p w14:paraId="1B34C403"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0.65</w:t>
            </w:r>
          </w:p>
        </w:tc>
        <w:tc>
          <w:tcPr>
            <w:tcW w:w="686" w:type="pct"/>
          </w:tcPr>
          <w:p w14:paraId="5250685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0.30</w:t>
            </w:r>
          </w:p>
        </w:tc>
        <w:tc>
          <w:tcPr>
            <w:tcW w:w="688" w:type="pct"/>
          </w:tcPr>
          <w:p w14:paraId="71C0268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0.43</w:t>
            </w:r>
          </w:p>
        </w:tc>
        <w:tc>
          <w:tcPr>
            <w:tcW w:w="688" w:type="pct"/>
          </w:tcPr>
          <w:p w14:paraId="7393D19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0.86</w:t>
            </w:r>
          </w:p>
        </w:tc>
        <w:tc>
          <w:tcPr>
            <w:tcW w:w="688" w:type="pct"/>
          </w:tcPr>
          <w:p w14:paraId="08DCEDD2"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1.06</w:t>
            </w:r>
          </w:p>
        </w:tc>
      </w:tr>
      <w:tr w:rsidR="001C52E0" w:rsidRPr="00586E8A" w14:paraId="4FB3794D" w14:textId="77777777" w:rsidTr="0057174A">
        <w:tc>
          <w:tcPr>
            <w:tcW w:w="860" w:type="pct"/>
          </w:tcPr>
          <w:p w14:paraId="6B99A9C9"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w:t>
            </w: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lim,AS</w:t>
            </w:r>
            <w:proofErr w:type="spellEnd"/>
            <w:proofErr w:type="gramEnd"/>
          </w:p>
        </w:tc>
        <w:tc>
          <w:tcPr>
            <w:tcW w:w="693" w:type="pct"/>
          </w:tcPr>
          <w:p w14:paraId="011386E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0.32</w:t>
            </w:r>
          </w:p>
        </w:tc>
        <w:tc>
          <w:tcPr>
            <w:tcW w:w="698" w:type="pct"/>
          </w:tcPr>
          <w:p w14:paraId="652BCBC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0.33</w:t>
            </w:r>
          </w:p>
        </w:tc>
        <w:tc>
          <w:tcPr>
            <w:tcW w:w="686" w:type="pct"/>
          </w:tcPr>
          <w:p w14:paraId="5C36369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0.15</w:t>
            </w:r>
          </w:p>
        </w:tc>
        <w:tc>
          <w:tcPr>
            <w:tcW w:w="688" w:type="pct"/>
          </w:tcPr>
          <w:p w14:paraId="26D8155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0.22</w:t>
            </w:r>
          </w:p>
        </w:tc>
        <w:tc>
          <w:tcPr>
            <w:tcW w:w="688" w:type="pct"/>
          </w:tcPr>
          <w:p w14:paraId="4AB895E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0.43</w:t>
            </w:r>
          </w:p>
        </w:tc>
        <w:tc>
          <w:tcPr>
            <w:tcW w:w="688" w:type="pct"/>
          </w:tcPr>
          <w:p w14:paraId="265CC30C"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0.50</w:t>
            </w:r>
          </w:p>
        </w:tc>
      </w:tr>
      <w:tr w:rsidR="001C52E0" w:rsidRPr="00586E8A" w14:paraId="406BDC03" w14:textId="77777777" w:rsidTr="0057174A">
        <w:tc>
          <w:tcPr>
            <w:tcW w:w="860" w:type="pct"/>
          </w:tcPr>
          <w:p w14:paraId="334165ED"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w:t>
            </w: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lim,AS</w:t>
            </w:r>
            <w:proofErr w:type="spellEnd"/>
            <w:proofErr w:type="gramEnd"/>
          </w:p>
        </w:tc>
        <w:tc>
          <w:tcPr>
            <w:tcW w:w="693" w:type="pct"/>
          </w:tcPr>
          <w:p w14:paraId="6EEFFE9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0.41</w:t>
            </w:r>
          </w:p>
        </w:tc>
        <w:tc>
          <w:tcPr>
            <w:tcW w:w="698" w:type="pct"/>
          </w:tcPr>
          <w:p w14:paraId="08073B0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0.41</w:t>
            </w:r>
          </w:p>
        </w:tc>
        <w:tc>
          <w:tcPr>
            <w:tcW w:w="686" w:type="pct"/>
          </w:tcPr>
          <w:p w14:paraId="18714B2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0.19</w:t>
            </w:r>
          </w:p>
        </w:tc>
        <w:tc>
          <w:tcPr>
            <w:tcW w:w="688" w:type="pct"/>
          </w:tcPr>
          <w:p w14:paraId="4D5CBA1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0.27</w:t>
            </w:r>
          </w:p>
        </w:tc>
        <w:tc>
          <w:tcPr>
            <w:tcW w:w="688" w:type="pct"/>
          </w:tcPr>
          <w:p w14:paraId="795BAA31"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0.55</w:t>
            </w:r>
          </w:p>
        </w:tc>
        <w:tc>
          <w:tcPr>
            <w:tcW w:w="688" w:type="pct"/>
          </w:tcPr>
          <w:p w14:paraId="4C9D0F96"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0.68</w:t>
            </w:r>
          </w:p>
        </w:tc>
      </w:tr>
      <w:tr w:rsidR="001C52E0" w:rsidRPr="00586E8A" w14:paraId="3DB79915" w14:textId="77777777" w:rsidTr="0057174A">
        <w:tc>
          <w:tcPr>
            <w:tcW w:w="860" w:type="pct"/>
          </w:tcPr>
          <w:p w14:paraId="04E435DC"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latest</w:t>
            </w:r>
            <w:proofErr w:type="spellEnd"/>
            <w:r w:rsidRPr="00586E8A">
              <w:rPr>
                <w:rFonts w:ascii="Times New Roman" w:hAnsi="Times New Roman" w:cs="Times New Roman"/>
                <w:lang w:val="en-GB" w:eastAsia="en-AU"/>
              </w:rPr>
              <w:t>/</w:t>
            </w: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crash,AS</w:t>
            </w:r>
            <w:proofErr w:type="spellEnd"/>
            <w:proofErr w:type="gramEnd"/>
          </w:p>
        </w:tc>
        <w:tc>
          <w:tcPr>
            <w:tcW w:w="693" w:type="pct"/>
          </w:tcPr>
          <w:p w14:paraId="41F2F96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0.23</w:t>
            </w:r>
          </w:p>
        </w:tc>
        <w:tc>
          <w:tcPr>
            <w:tcW w:w="698" w:type="pct"/>
          </w:tcPr>
          <w:p w14:paraId="2158003A"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0.23</w:t>
            </w:r>
          </w:p>
        </w:tc>
        <w:tc>
          <w:tcPr>
            <w:tcW w:w="686" w:type="pct"/>
          </w:tcPr>
          <w:p w14:paraId="480D6FEF"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0.11</w:t>
            </w:r>
          </w:p>
        </w:tc>
        <w:tc>
          <w:tcPr>
            <w:tcW w:w="688" w:type="pct"/>
          </w:tcPr>
          <w:p w14:paraId="468C0CE0"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0.15</w:t>
            </w:r>
          </w:p>
        </w:tc>
        <w:tc>
          <w:tcPr>
            <w:tcW w:w="688" w:type="pct"/>
          </w:tcPr>
          <w:p w14:paraId="05D6BA2E"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0.30</w:t>
            </w:r>
          </w:p>
        </w:tc>
        <w:tc>
          <w:tcPr>
            <w:tcW w:w="688" w:type="pct"/>
          </w:tcPr>
          <w:p w14:paraId="19B1312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0.35</w:t>
            </w:r>
          </w:p>
        </w:tc>
      </w:tr>
      <w:tr w:rsidR="001C52E0" w:rsidRPr="00586E8A" w14:paraId="7222A11C" w14:textId="77777777" w:rsidTr="0057174A">
        <w:tc>
          <w:tcPr>
            <w:tcW w:w="860" w:type="pct"/>
            <w:tcBorders>
              <w:bottom w:val="single" w:sz="4" w:space="0" w:color="auto"/>
            </w:tcBorders>
          </w:tcPr>
          <w:p w14:paraId="47789465" w14:textId="77777777" w:rsidR="001C52E0" w:rsidRPr="00586E8A" w:rsidRDefault="001C52E0" w:rsidP="00586E8A">
            <w:pPr>
              <w:widowControl w:val="0"/>
              <w:adjustRightInd w:val="0"/>
              <w:snapToGrid w:val="0"/>
              <w:jc w:val="both"/>
              <w:rPr>
                <w:rFonts w:ascii="Times New Roman" w:hAnsi="Times New Roman" w:cs="Times New Roman"/>
                <w:lang w:val="en-GB" w:eastAsia="en-AU"/>
              </w:rPr>
            </w:pPr>
            <w:proofErr w:type="spell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recent</w:t>
            </w:r>
            <w:proofErr w:type="spellEnd"/>
            <w:r w:rsidRPr="00586E8A">
              <w:rPr>
                <w:rFonts w:ascii="Times New Roman" w:hAnsi="Times New Roman" w:cs="Times New Roman"/>
                <w:lang w:val="en-GB" w:eastAsia="en-AU"/>
              </w:rPr>
              <w:t>/</w:t>
            </w:r>
            <w:proofErr w:type="spellStart"/>
            <w:proofErr w:type="gramStart"/>
            <w:r w:rsidRPr="00586E8A">
              <w:rPr>
                <w:rFonts w:ascii="Times New Roman" w:hAnsi="Times New Roman" w:cs="Times New Roman"/>
                <w:lang w:val="en-GB" w:eastAsia="en-AU"/>
              </w:rPr>
              <w:t>F</w:t>
            </w:r>
            <w:r w:rsidRPr="00586E8A">
              <w:rPr>
                <w:rFonts w:ascii="Times New Roman" w:hAnsi="Times New Roman" w:cs="Times New Roman"/>
                <w:vertAlign w:val="subscript"/>
                <w:lang w:val="en-GB" w:eastAsia="en-AU"/>
              </w:rPr>
              <w:t>crash,AS</w:t>
            </w:r>
            <w:proofErr w:type="spellEnd"/>
            <w:proofErr w:type="gramEnd"/>
          </w:p>
        </w:tc>
        <w:tc>
          <w:tcPr>
            <w:tcW w:w="693" w:type="pct"/>
            <w:tcBorders>
              <w:bottom w:val="single" w:sz="4" w:space="0" w:color="auto"/>
            </w:tcBorders>
          </w:tcPr>
          <w:p w14:paraId="77E1B164"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0.29</w:t>
            </w:r>
          </w:p>
        </w:tc>
        <w:tc>
          <w:tcPr>
            <w:tcW w:w="698" w:type="pct"/>
            <w:tcBorders>
              <w:bottom w:val="single" w:sz="4" w:space="0" w:color="auto"/>
            </w:tcBorders>
          </w:tcPr>
          <w:p w14:paraId="285F4D34"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0.29</w:t>
            </w:r>
          </w:p>
        </w:tc>
        <w:tc>
          <w:tcPr>
            <w:tcW w:w="686" w:type="pct"/>
            <w:tcBorders>
              <w:bottom w:val="single" w:sz="4" w:space="0" w:color="auto"/>
            </w:tcBorders>
          </w:tcPr>
          <w:p w14:paraId="6B2191B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0.13</w:t>
            </w:r>
          </w:p>
        </w:tc>
        <w:tc>
          <w:tcPr>
            <w:tcW w:w="688" w:type="pct"/>
            <w:tcBorders>
              <w:bottom w:val="single" w:sz="4" w:space="0" w:color="auto"/>
            </w:tcBorders>
          </w:tcPr>
          <w:p w14:paraId="01E0F54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0.19</w:t>
            </w:r>
          </w:p>
        </w:tc>
        <w:tc>
          <w:tcPr>
            <w:tcW w:w="688" w:type="pct"/>
            <w:tcBorders>
              <w:bottom w:val="single" w:sz="4" w:space="0" w:color="auto"/>
            </w:tcBorders>
          </w:tcPr>
          <w:p w14:paraId="2E2F4558"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0.39</w:t>
            </w:r>
          </w:p>
        </w:tc>
        <w:tc>
          <w:tcPr>
            <w:tcW w:w="688" w:type="pct"/>
            <w:tcBorders>
              <w:bottom w:val="single" w:sz="4" w:space="0" w:color="auto"/>
            </w:tcBorders>
          </w:tcPr>
          <w:p w14:paraId="6684078D" w14:textId="77777777" w:rsidR="001C52E0" w:rsidRPr="00586E8A" w:rsidRDefault="001C52E0" w:rsidP="00586E8A">
            <w:pPr>
              <w:widowControl w:val="0"/>
              <w:adjustRightInd w:val="0"/>
              <w:snapToGrid w:val="0"/>
              <w:jc w:val="right"/>
              <w:rPr>
                <w:rFonts w:ascii="Times New Roman" w:hAnsi="Times New Roman" w:cs="Times New Roman"/>
                <w:lang w:val="en-GB" w:eastAsia="en-AU"/>
              </w:rPr>
            </w:pPr>
            <w:r w:rsidRPr="00586E8A">
              <w:rPr>
                <w:rFonts w:ascii="Times New Roman" w:hAnsi="Times New Roman" w:cs="Times New Roman"/>
                <w:lang w:val="en-GB" w:eastAsia="en-AU"/>
              </w:rPr>
              <w:t>0.48</w:t>
            </w:r>
          </w:p>
        </w:tc>
      </w:tr>
    </w:tbl>
    <w:p w14:paraId="358B96CC"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p>
    <w:p w14:paraId="438A4FDC"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p>
    <w:p w14:paraId="2C267B52"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noProof/>
          <w:lang w:val="en-GB" w:eastAsia="ja-JP"/>
        </w:rPr>
        <w:lastRenderedPageBreak/>
        <w:drawing>
          <wp:inline distT="0" distB="0" distL="0" distR="0" wp14:anchorId="0901971A" wp14:editId="1D0E6BAE">
            <wp:extent cx="6043295" cy="1270000"/>
            <wp:effectExtent l="0" t="0" r="0" b="6350"/>
            <wp:docPr id="41" name="Image2"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ダイアグラム&#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76481" cy="1297989"/>
                    </a:xfrm>
                    <a:prstGeom prst="rect">
                      <a:avLst/>
                    </a:prstGeom>
                  </pic:spPr>
                </pic:pic>
              </a:graphicData>
            </a:graphic>
          </wp:inline>
        </w:drawing>
      </w:r>
    </w:p>
    <w:p w14:paraId="5B55CECE"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SBSH-1.</w:t>
      </w:r>
      <w:r w:rsidRPr="00586E8A">
        <w:rPr>
          <w:rFonts w:ascii="Times New Roman" w:eastAsia="Yu Mincho" w:hAnsi="Times New Roman" w:cs="Times New Roman"/>
          <w:lang w:val="en-GB" w:eastAsia="ja-JP"/>
        </w:rPr>
        <w:t xml:space="preserve"> Spatial structure used in the 2022 stock assessment model.</w:t>
      </w:r>
    </w:p>
    <w:p w14:paraId="3BCFB1DC"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p>
    <w:p w14:paraId="29E72668" w14:textId="77777777" w:rsidR="001C52E0" w:rsidRPr="00586E8A" w:rsidRDefault="001C52E0" w:rsidP="00586E8A">
      <w:pPr>
        <w:widowControl w:val="0"/>
        <w:adjustRightInd w:val="0"/>
        <w:snapToGrid w:val="0"/>
        <w:spacing w:after="0" w:line="240" w:lineRule="auto"/>
        <w:jc w:val="center"/>
        <w:rPr>
          <w:rFonts w:ascii="Times New Roman" w:hAnsi="Times New Roman" w:cs="Times New Roman"/>
          <w:lang w:val="en-GB" w:eastAsia="en-AU"/>
        </w:rPr>
      </w:pPr>
      <w:r w:rsidRPr="00586E8A">
        <w:rPr>
          <w:rFonts w:ascii="Times New Roman" w:eastAsia="Yu Mincho" w:hAnsi="Times New Roman" w:cs="Times New Roman"/>
          <w:noProof/>
          <w:lang w:val="en-GB" w:eastAsia="ja-JP"/>
        </w:rPr>
        <w:drawing>
          <wp:inline distT="0" distB="0" distL="0" distR="0" wp14:anchorId="4D45C4A2" wp14:editId="08954D34">
            <wp:extent cx="4609578" cy="4347139"/>
            <wp:effectExtent l="0" t="0" r="635" b="0"/>
            <wp:docPr id="42" name="Image3"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グラフ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56707" cy="4391585"/>
                    </a:xfrm>
                    <a:prstGeom prst="rect">
                      <a:avLst/>
                    </a:prstGeom>
                  </pic:spPr>
                </pic:pic>
              </a:graphicData>
            </a:graphic>
          </wp:inline>
        </w:drawing>
      </w:r>
    </w:p>
    <w:p w14:paraId="23B92353"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 xml:space="preserve">Figure SBSH-2. </w:t>
      </w:r>
      <w:r w:rsidRPr="00586E8A">
        <w:rPr>
          <w:rFonts w:ascii="Times New Roman" w:eastAsia="Yu Mincho" w:hAnsi="Times New Roman" w:cs="Times New Roman"/>
          <w:lang w:val="en-GB" w:eastAsia="ja-JP"/>
        </w:rPr>
        <w:t>Top panel: Time series of total reported annual Southwest Pacific BSH catch for the EU-SP fleet (</w:t>
      </w:r>
      <w:proofErr w:type="spellStart"/>
      <w:r w:rsidRPr="00586E8A">
        <w:rPr>
          <w:rFonts w:ascii="Times New Roman" w:eastAsia="Yu Mincho" w:hAnsi="Times New Roman" w:cs="Times New Roman"/>
          <w:lang w:val="en-GB" w:eastAsia="ja-JP"/>
        </w:rPr>
        <w:t>mt</w:t>
      </w:r>
      <w:proofErr w:type="spellEnd"/>
      <w:r w:rsidRPr="00586E8A">
        <w:rPr>
          <w:rFonts w:ascii="Times New Roman" w:eastAsia="Yu Mincho" w:hAnsi="Times New Roman" w:cs="Times New Roman"/>
          <w:lang w:val="en-GB" w:eastAsia="ja-JP"/>
        </w:rPr>
        <w:t xml:space="preserve">), Bottom panels: Predicted total fishing related mortality by latitudinal stratum (high [≥ </w:t>
      </w:r>
      <w:proofErr w:type="gramStart"/>
      <w:r w:rsidRPr="00586E8A">
        <w:rPr>
          <w:rFonts w:ascii="Times New Roman" w:eastAsia="Yu Mincho" w:hAnsi="Times New Roman" w:cs="Times New Roman"/>
          <w:lang w:val="en-GB" w:eastAsia="ja-JP"/>
        </w:rPr>
        <w:t>35 degree</w:t>
      </w:r>
      <w:proofErr w:type="gramEnd"/>
      <w:r w:rsidRPr="00586E8A">
        <w:rPr>
          <w:rFonts w:ascii="Times New Roman" w:eastAsia="Yu Mincho" w:hAnsi="Times New Roman" w:cs="Times New Roman"/>
          <w:lang w:val="en-GB" w:eastAsia="ja-JP"/>
        </w:rPr>
        <w:t xml:space="preserve"> South] and low latitude [&lt; 35 degree South]), including 17% post release mortality for live-discarded blue sharks. Interactions refer to the posterior median (50%) and 90</w:t>
      </w:r>
      <w:r w:rsidRPr="00586E8A">
        <w:rPr>
          <w:rFonts w:ascii="Times New Roman" w:eastAsia="Yu Mincho" w:hAnsi="Times New Roman" w:cs="Times New Roman"/>
          <w:vertAlign w:val="superscript"/>
          <w:lang w:val="en-GB" w:eastAsia="ja-JP"/>
        </w:rPr>
        <w:t xml:space="preserve">th </w:t>
      </w:r>
      <w:r w:rsidRPr="00586E8A">
        <w:rPr>
          <w:rFonts w:ascii="Times New Roman" w:eastAsia="Yu Mincho" w:hAnsi="Times New Roman" w:cs="Times New Roman"/>
          <w:lang w:val="en-GB" w:eastAsia="ja-JP"/>
        </w:rPr>
        <w:t xml:space="preserve">percentile (90%) of the predicted catch from the observer catch rate model. Low, median and high discard scenarios refer to </w:t>
      </w:r>
      <w:proofErr w:type="gramStart"/>
      <w:r w:rsidRPr="00586E8A">
        <w:rPr>
          <w:rFonts w:ascii="Times New Roman" w:eastAsia="Yu Mincho" w:hAnsi="Times New Roman" w:cs="Times New Roman"/>
          <w:lang w:val="en-GB" w:eastAsia="ja-JP"/>
        </w:rPr>
        <w:t>the  25</w:t>
      </w:r>
      <w:proofErr w:type="gramEnd"/>
      <w:r w:rsidRPr="00586E8A">
        <w:rPr>
          <w:rFonts w:ascii="Times New Roman" w:eastAsia="Yu Mincho" w:hAnsi="Times New Roman" w:cs="Times New Roman"/>
          <w:lang w:val="en-GB" w:eastAsia="ja-JP"/>
        </w:rPr>
        <w:t>%, 50% (median) and 75% discard estimates. All discard estimates were applied at flag and latitudinal stratum level to overall interactions.</w:t>
      </w:r>
    </w:p>
    <w:p w14:paraId="108CDBD5" w14:textId="77777777" w:rsidR="001C52E0" w:rsidRPr="00586E8A" w:rsidRDefault="001C52E0" w:rsidP="00586E8A">
      <w:pPr>
        <w:widowControl w:val="0"/>
        <w:adjustRightInd w:val="0"/>
        <w:snapToGrid w:val="0"/>
        <w:spacing w:after="0" w:line="240" w:lineRule="auto"/>
        <w:jc w:val="both"/>
        <w:rPr>
          <w:rFonts w:ascii="Times New Roman" w:hAnsi="Times New Roman" w:cs="Times New Roman"/>
          <w:lang w:val="en-GB" w:eastAsia="en-AU"/>
        </w:rPr>
      </w:pPr>
    </w:p>
    <w:p w14:paraId="06DA2218"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b/>
          <w:bCs/>
          <w:lang w:val="en-GB" w:eastAsia="ja-JP"/>
        </w:rPr>
      </w:pPr>
      <w:r w:rsidRPr="00586E8A">
        <w:rPr>
          <w:rFonts w:ascii="Times New Roman" w:eastAsia="Yu Mincho" w:hAnsi="Times New Roman" w:cs="Times New Roman"/>
          <w:b/>
          <w:bCs/>
          <w:noProof/>
          <w:lang w:val="en-GB" w:eastAsia="ja-JP"/>
        </w:rPr>
        <w:lastRenderedPageBreak/>
        <w:drawing>
          <wp:inline distT="0" distB="0" distL="0" distR="0" wp14:anchorId="62BF68E7" wp14:editId="64285BC7">
            <wp:extent cx="4149265" cy="2079321"/>
            <wp:effectExtent l="0" t="0" r="3810" b="0"/>
            <wp:docPr id="43" name="Image5"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グラフ, 折れ線グラフ&#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171127" cy="2090277"/>
                    </a:xfrm>
                    <a:prstGeom prst="rect">
                      <a:avLst/>
                    </a:prstGeom>
                  </pic:spPr>
                </pic:pic>
              </a:graphicData>
            </a:graphic>
          </wp:inline>
        </w:drawing>
      </w:r>
    </w:p>
    <w:p w14:paraId="795AB088"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SBSH-3.</w:t>
      </w:r>
      <w:r w:rsidRPr="00586E8A">
        <w:rPr>
          <w:rFonts w:ascii="Times New Roman" w:eastAsia="Yu Mincho" w:hAnsi="Times New Roman" w:cs="Times New Roman"/>
          <w:lang w:val="en-GB" w:eastAsia="ja-JP"/>
        </w:rPr>
        <w:t xml:space="preserve"> Estimated annual recruitment for the diagnostic case </w:t>
      </w:r>
      <w:proofErr w:type="gramStart"/>
      <w:r w:rsidRPr="00586E8A">
        <w:rPr>
          <w:rFonts w:ascii="Times New Roman" w:eastAsia="Yu Mincho" w:hAnsi="Times New Roman" w:cs="Times New Roman"/>
          <w:lang w:val="en-GB" w:eastAsia="ja-JP"/>
        </w:rPr>
        <w:t>model</w:t>
      </w:r>
      <w:proofErr w:type="gramEnd"/>
    </w:p>
    <w:p w14:paraId="27334BFE"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p>
    <w:p w14:paraId="75F7090A"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p>
    <w:p w14:paraId="2122C690"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r w:rsidRPr="00586E8A">
        <w:rPr>
          <w:rFonts w:ascii="Times New Roman" w:eastAsia="Yu Mincho" w:hAnsi="Times New Roman" w:cs="Times New Roman"/>
          <w:noProof/>
          <w:lang w:val="en-GB" w:eastAsia="ja-JP"/>
        </w:rPr>
        <w:drawing>
          <wp:inline distT="0" distB="0" distL="0" distR="0" wp14:anchorId="7B55D6C7" wp14:editId="271D894E">
            <wp:extent cx="4548635" cy="2279737"/>
            <wp:effectExtent l="0" t="0" r="4445" b="6350"/>
            <wp:docPr id="44" name="Image6"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グラフ, 折れ線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629448" cy="2320240"/>
                    </a:xfrm>
                    <a:prstGeom prst="rect">
                      <a:avLst/>
                    </a:prstGeom>
                  </pic:spPr>
                </pic:pic>
              </a:graphicData>
            </a:graphic>
          </wp:inline>
        </w:drawing>
      </w:r>
    </w:p>
    <w:p w14:paraId="4E283497"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SBSH-4.</w:t>
      </w:r>
      <w:r w:rsidRPr="00586E8A">
        <w:rPr>
          <w:rFonts w:ascii="Times New Roman" w:eastAsia="Yu Mincho" w:hAnsi="Times New Roman" w:cs="Times New Roman"/>
          <w:lang w:val="en-GB" w:eastAsia="ja-JP"/>
        </w:rPr>
        <w:t xml:space="preserve"> Estimated annual spawning potential by model region for diagnostic case </w:t>
      </w:r>
      <w:proofErr w:type="gramStart"/>
      <w:r w:rsidRPr="00586E8A">
        <w:rPr>
          <w:rFonts w:ascii="Times New Roman" w:eastAsia="Yu Mincho" w:hAnsi="Times New Roman" w:cs="Times New Roman"/>
          <w:lang w:val="en-GB" w:eastAsia="ja-JP"/>
        </w:rPr>
        <w:t>model</w:t>
      </w:r>
      <w:proofErr w:type="gramEnd"/>
    </w:p>
    <w:p w14:paraId="77765A1F"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p>
    <w:p w14:paraId="126C4C3A"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p>
    <w:p w14:paraId="5FB51560"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p>
    <w:p w14:paraId="4101E894"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noProof/>
          <w:lang w:val="en-GB" w:eastAsia="ja-JP"/>
        </w:rPr>
      </w:pPr>
      <w:r w:rsidRPr="00586E8A">
        <w:rPr>
          <w:rFonts w:ascii="Times New Roman" w:eastAsia="Yu Mincho" w:hAnsi="Times New Roman" w:cs="Times New Roman"/>
          <w:noProof/>
          <w:lang w:val="en-GB" w:eastAsia="ja-JP"/>
        </w:rPr>
        <w:drawing>
          <wp:inline distT="0" distB="0" distL="0" distR="0" wp14:anchorId="3329364D" wp14:editId="4F14EDF5">
            <wp:extent cx="4774046" cy="2392472"/>
            <wp:effectExtent l="0" t="0" r="7620" b="8255"/>
            <wp:docPr id="45" name="Image7"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グラフ, ヒストグラム&#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29871" cy="2420448"/>
                    </a:xfrm>
                    <a:prstGeom prst="rect">
                      <a:avLst/>
                    </a:prstGeom>
                  </pic:spPr>
                </pic:pic>
              </a:graphicData>
            </a:graphic>
          </wp:inline>
        </w:drawing>
      </w:r>
    </w:p>
    <w:p w14:paraId="01445467"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SBSH-5.</w:t>
      </w:r>
      <w:r w:rsidRPr="00586E8A">
        <w:rPr>
          <w:rFonts w:ascii="Times New Roman" w:eastAsia="Yu Mincho" w:hAnsi="Times New Roman" w:cs="Times New Roman"/>
          <w:lang w:val="en-GB" w:eastAsia="ja-JP"/>
        </w:rPr>
        <w:t xml:space="preserve"> Estimated annual fishing mortality for the diagnostic case </w:t>
      </w:r>
      <w:proofErr w:type="gramStart"/>
      <w:r w:rsidRPr="00586E8A">
        <w:rPr>
          <w:rFonts w:ascii="Times New Roman" w:eastAsia="Yu Mincho" w:hAnsi="Times New Roman" w:cs="Times New Roman"/>
          <w:lang w:val="en-GB" w:eastAsia="ja-JP"/>
        </w:rPr>
        <w:t>model</w:t>
      </w:r>
      <w:proofErr w:type="gramEnd"/>
    </w:p>
    <w:p w14:paraId="3566B6B4"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r w:rsidRPr="00586E8A">
        <w:rPr>
          <w:rFonts w:ascii="Times New Roman" w:eastAsia="Yu Mincho" w:hAnsi="Times New Roman" w:cs="Times New Roman"/>
          <w:noProof/>
          <w:lang w:val="en-GB" w:eastAsia="ja-JP"/>
        </w:rPr>
        <w:lastRenderedPageBreak/>
        <w:drawing>
          <wp:inline distT="0" distB="0" distL="0" distR="0" wp14:anchorId="70F99C81" wp14:editId="32F5EC29">
            <wp:extent cx="4909298" cy="3269293"/>
            <wp:effectExtent l="0" t="0" r="5715" b="0"/>
            <wp:docPr id="46" name="Image8"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グラフィカル ユーザー インターフェイス が含まれている画像&#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19919" cy="3276366"/>
                    </a:xfrm>
                    <a:prstGeom prst="rect">
                      <a:avLst/>
                    </a:prstGeom>
                  </pic:spPr>
                </pic:pic>
              </a:graphicData>
            </a:graphic>
          </wp:inline>
        </w:drawing>
      </w:r>
    </w:p>
    <w:p w14:paraId="407BF594"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lang w:val="en-GB" w:eastAsia="ja-JP"/>
        </w:rPr>
      </w:pPr>
      <w:r w:rsidRPr="00586E8A">
        <w:rPr>
          <w:rFonts w:ascii="Times New Roman" w:eastAsia="Yu Mincho" w:hAnsi="Times New Roman" w:cs="Times New Roman"/>
          <w:noProof/>
          <w:lang w:val="en-GB" w:eastAsia="ja-JP"/>
        </w:rPr>
        <w:drawing>
          <wp:inline distT="0" distB="0" distL="0" distR="0" wp14:anchorId="1F71BEEF" wp14:editId="69B688B9">
            <wp:extent cx="4833926" cy="3219189"/>
            <wp:effectExtent l="0" t="0" r="5080" b="0"/>
            <wp:docPr id="47" name="Image9"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グラフ&#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43081" cy="3225286"/>
                    </a:xfrm>
                    <a:prstGeom prst="rect">
                      <a:avLst/>
                    </a:prstGeom>
                  </pic:spPr>
                </pic:pic>
              </a:graphicData>
            </a:graphic>
          </wp:inline>
        </w:drawing>
      </w:r>
    </w:p>
    <w:p w14:paraId="6E88FA11"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SBSH-6.</w:t>
      </w:r>
      <w:r w:rsidRPr="00586E8A">
        <w:rPr>
          <w:rFonts w:ascii="Times New Roman" w:eastAsia="Yu Mincho" w:hAnsi="Times New Roman" w:cs="Times New Roman"/>
          <w:lang w:val="en-GB" w:eastAsia="ja-JP"/>
        </w:rPr>
        <w:t xml:space="preserve"> Plot showing the quantiles of trajectories of fishing depletion (of spawning potential) for the 228 model runs included in the structural uncertainty </w:t>
      </w:r>
      <w:proofErr w:type="gramStart"/>
      <w:r w:rsidRPr="00586E8A">
        <w:rPr>
          <w:rFonts w:ascii="Times New Roman" w:eastAsia="Yu Mincho" w:hAnsi="Times New Roman" w:cs="Times New Roman"/>
          <w:lang w:val="en-GB" w:eastAsia="ja-JP"/>
        </w:rPr>
        <w:t>grid</w:t>
      </w:r>
      <w:proofErr w:type="gramEnd"/>
    </w:p>
    <w:p w14:paraId="17EE4D13"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b/>
          <w:bCs/>
          <w:lang w:val="en-GB" w:eastAsia="ja-JP"/>
        </w:rPr>
      </w:pPr>
      <w:r w:rsidRPr="00586E8A">
        <w:rPr>
          <w:rFonts w:ascii="Times New Roman" w:eastAsia="Yu Mincho" w:hAnsi="Times New Roman" w:cs="Times New Roman"/>
          <w:noProof/>
          <w:lang w:val="en-GB" w:eastAsia="ja-JP"/>
        </w:rPr>
        <w:lastRenderedPageBreak/>
        <w:drawing>
          <wp:inline distT="0" distB="0" distL="0" distR="0" wp14:anchorId="1AA8205D" wp14:editId="3EEE4CA1">
            <wp:extent cx="3557392" cy="3452223"/>
            <wp:effectExtent l="0" t="0" r="5080" b="0"/>
            <wp:docPr id="48" name="Image11"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 descr="グラフ, 散布図&#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566893" cy="3461443"/>
                    </a:xfrm>
                    <a:prstGeom prst="rect">
                      <a:avLst/>
                    </a:prstGeom>
                  </pic:spPr>
                </pic:pic>
              </a:graphicData>
            </a:graphic>
          </wp:inline>
        </w:drawing>
      </w:r>
    </w:p>
    <w:p w14:paraId="2C0F7EC9"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SBSH-7.</w:t>
      </w:r>
      <w:r w:rsidRPr="00586E8A">
        <w:rPr>
          <w:rFonts w:ascii="Times New Roman" w:eastAsia="Yu Mincho" w:hAnsi="Times New Roman" w:cs="Times New Roman"/>
          <w:lang w:val="en-GB" w:eastAsia="ja-JP"/>
        </w:rPr>
        <w:t xml:space="preserve"> Majuro plot summarising the results for each of the models in the structural uncertainty grid. Size indicates weight of each model in the grid, darker shading indicates multiple models with similar outcomes.</w:t>
      </w:r>
    </w:p>
    <w:p w14:paraId="697FB74A" w14:textId="77777777" w:rsidR="001C52E0" w:rsidRPr="00586E8A" w:rsidRDefault="001C52E0" w:rsidP="00586E8A">
      <w:pPr>
        <w:widowControl w:val="0"/>
        <w:adjustRightInd w:val="0"/>
        <w:snapToGrid w:val="0"/>
        <w:spacing w:after="0" w:line="240" w:lineRule="auto"/>
        <w:jc w:val="center"/>
        <w:rPr>
          <w:rFonts w:ascii="Times New Roman" w:eastAsia="Yu Mincho" w:hAnsi="Times New Roman" w:cs="Times New Roman"/>
          <w:b/>
          <w:bCs/>
          <w:lang w:val="en-GB" w:eastAsia="ja-JP"/>
        </w:rPr>
      </w:pPr>
      <w:r w:rsidRPr="00586E8A">
        <w:rPr>
          <w:rFonts w:ascii="Times New Roman" w:eastAsia="Yu Mincho" w:hAnsi="Times New Roman" w:cs="Times New Roman"/>
          <w:noProof/>
          <w:lang w:val="en-GB" w:eastAsia="ja-JP"/>
        </w:rPr>
        <w:drawing>
          <wp:inline distT="0" distB="0" distL="0" distR="0" wp14:anchorId="56FE82D8" wp14:editId="7CEE87CF">
            <wp:extent cx="3627022" cy="3519814"/>
            <wp:effectExtent l="0" t="0" r="0" b="4445"/>
            <wp:docPr id="49" name="Image10"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グラフ, ヒストグラム&#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634975" cy="3527532"/>
                    </a:xfrm>
                    <a:prstGeom prst="rect">
                      <a:avLst/>
                    </a:prstGeom>
                  </pic:spPr>
                </pic:pic>
              </a:graphicData>
            </a:graphic>
          </wp:inline>
        </w:drawing>
      </w:r>
    </w:p>
    <w:p w14:paraId="63A77CA7" w14:textId="77777777" w:rsidR="001C52E0" w:rsidRPr="00586E8A" w:rsidRDefault="001C52E0" w:rsidP="00586E8A">
      <w:pPr>
        <w:widowControl w:val="0"/>
        <w:adjustRightInd w:val="0"/>
        <w:snapToGrid w:val="0"/>
        <w:spacing w:after="0" w:line="240" w:lineRule="auto"/>
        <w:jc w:val="both"/>
        <w:rPr>
          <w:rFonts w:ascii="Times New Roman" w:eastAsia="Yu Mincho" w:hAnsi="Times New Roman" w:cs="Times New Roman"/>
          <w:lang w:val="en-GB" w:eastAsia="ja-JP"/>
        </w:rPr>
      </w:pPr>
      <w:r w:rsidRPr="00586E8A">
        <w:rPr>
          <w:rFonts w:ascii="Times New Roman" w:eastAsia="Yu Mincho" w:hAnsi="Times New Roman" w:cs="Times New Roman"/>
          <w:b/>
          <w:bCs/>
          <w:lang w:val="en-GB" w:eastAsia="ja-JP"/>
        </w:rPr>
        <w:t>Figure SBSH-8</w:t>
      </w:r>
      <w:r w:rsidRPr="00586E8A">
        <w:rPr>
          <w:rFonts w:ascii="Times New Roman" w:eastAsia="Yu Mincho" w:hAnsi="Times New Roman" w:cs="Times New Roman"/>
          <w:lang w:val="en-GB" w:eastAsia="ja-JP"/>
        </w:rPr>
        <w:t>. Kobe plot summarising the results for each of the models in the structural uncertainty grid. Size indicates weight of each model in the grid, darker shading indicates multiple models with similar outcomes.</w:t>
      </w:r>
    </w:p>
    <w:p w14:paraId="0500316C" w14:textId="77777777" w:rsidR="001C52E0" w:rsidRPr="00586E8A" w:rsidRDefault="001C52E0" w:rsidP="00586E8A">
      <w:pPr>
        <w:widowControl w:val="0"/>
        <w:numPr>
          <w:ilvl w:val="0"/>
          <w:numId w:val="15"/>
        </w:numPr>
        <w:adjustRightInd w:val="0"/>
        <w:snapToGrid w:val="0"/>
        <w:spacing w:after="0" w:line="240" w:lineRule="auto"/>
        <w:ind w:left="0" w:firstLine="0"/>
        <w:rPr>
          <w:rFonts w:ascii="Times New Roman" w:hAnsi="Times New Roman" w:cs="Times New Roman"/>
          <w:b/>
        </w:rPr>
      </w:pPr>
      <w:r w:rsidRPr="00586E8A">
        <w:rPr>
          <w:rFonts w:ascii="Times New Roman" w:hAnsi="Times New Roman" w:cs="Times New Roman"/>
          <w:b/>
        </w:rPr>
        <w:t xml:space="preserve">Management advice and implications </w:t>
      </w:r>
    </w:p>
    <w:p w14:paraId="7374AC09" w14:textId="77777777" w:rsidR="001C52E0" w:rsidRPr="00586E8A" w:rsidRDefault="001C52E0" w:rsidP="00586E8A">
      <w:pPr>
        <w:widowControl w:val="0"/>
        <w:adjustRightInd w:val="0"/>
        <w:snapToGrid w:val="0"/>
        <w:spacing w:after="0" w:line="240" w:lineRule="auto"/>
        <w:ind w:left="1080"/>
        <w:rPr>
          <w:rFonts w:ascii="Times New Roman" w:hAnsi="Times New Roman" w:cs="Times New Roman"/>
          <w:bCs/>
        </w:rPr>
      </w:pPr>
    </w:p>
    <w:p w14:paraId="5DF8D120" w14:textId="77777777" w:rsidR="001C52E0" w:rsidRPr="00586E8A" w:rsidRDefault="001C52E0" w:rsidP="00586E8A">
      <w:pPr>
        <w:widowControl w:val="0"/>
        <w:numPr>
          <w:ilvl w:val="0"/>
          <w:numId w:val="14"/>
        </w:numPr>
        <w:tabs>
          <w:tab w:val="left" w:pos="0"/>
        </w:tabs>
        <w:kinsoku w:val="0"/>
        <w:overflowPunct w:val="0"/>
        <w:autoSpaceDE w:val="0"/>
        <w:autoSpaceDN w:val="0"/>
        <w:adjustRightInd w:val="0"/>
        <w:snapToGrid w:val="0"/>
        <w:spacing w:after="0" w:line="240" w:lineRule="auto"/>
        <w:ind w:left="0" w:firstLine="0"/>
        <w:jc w:val="both"/>
        <w:rPr>
          <w:rFonts w:ascii="Times New Roman" w:eastAsiaTheme="minorEastAsia" w:hAnsi="Times New Roman" w:cs="Times New Roman"/>
          <w:bCs/>
          <w:u w:color="000000"/>
          <w:lang w:val="en-AU" w:eastAsia="ko-KR"/>
        </w:rPr>
      </w:pPr>
      <w:r w:rsidRPr="00586E8A">
        <w:rPr>
          <w:rFonts w:ascii="Times New Roman" w:eastAsiaTheme="minorEastAsia" w:hAnsi="Times New Roman" w:cs="Times New Roman"/>
          <w:bCs/>
          <w:u w:color="000000"/>
          <w:lang w:val="en-AU" w:eastAsia="ko-KR"/>
        </w:rPr>
        <w:t xml:space="preserve">SC18 welcomed the reduction and refinement of the grid of models for Southwest Pacific blue shark as well as the approach to the weighting of the model.  </w:t>
      </w:r>
    </w:p>
    <w:p w14:paraId="2D7B9C35" w14:textId="77777777" w:rsidR="001C52E0" w:rsidRPr="00586E8A" w:rsidRDefault="001C52E0" w:rsidP="00586E8A">
      <w:pPr>
        <w:widowControl w:val="0"/>
        <w:tabs>
          <w:tab w:val="left" w:pos="0"/>
        </w:tabs>
        <w:kinsoku w:val="0"/>
        <w:overflowPunct w:val="0"/>
        <w:autoSpaceDE w:val="0"/>
        <w:autoSpaceDN w:val="0"/>
        <w:adjustRightInd w:val="0"/>
        <w:snapToGrid w:val="0"/>
        <w:spacing w:after="0" w:line="240" w:lineRule="auto"/>
        <w:jc w:val="both"/>
        <w:rPr>
          <w:rFonts w:ascii="Times New Roman" w:eastAsiaTheme="minorEastAsia" w:hAnsi="Times New Roman" w:cs="Times New Roman"/>
          <w:bCs/>
          <w:u w:color="000000"/>
          <w:lang w:val="en-AU" w:eastAsia="ko-KR"/>
        </w:rPr>
      </w:pPr>
    </w:p>
    <w:p w14:paraId="7A246016" w14:textId="77777777" w:rsidR="001C52E0" w:rsidRPr="00586E8A" w:rsidRDefault="001C52E0" w:rsidP="00586E8A">
      <w:pPr>
        <w:widowControl w:val="0"/>
        <w:numPr>
          <w:ilvl w:val="0"/>
          <w:numId w:val="14"/>
        </w:numPr>
        <w:tabs>
          <w:tab w:val="left" w:pos="0"/>
        </w:tabs>
        <w:kinsoku w:val="0"/>
        <w:overflowPunct w:val="0"/>
        <w:autoSpaceDE w:val="0"/>
        <w:autoSpaceDN w:val="0"/>
        <w:adjustRightInd w:val="0"/>
        <w:snapToGrid w:val="0"/>
        <w:spacing w:after="0" w:line="240" w:lineRule="auto"/>
        <w:ind w:left="0" w:firstLine="0"/>
        <w:jc w:val="both"/>
        <w:rPr>
          <w:rFonts w:ascii="Times New Roman" w:eastAsiaTheme="minorEastAsia" w:hAnsi="Times New Roman" w:cs="Times New Roman"/>
          <w:bCs/>
          <w:u w:color="000000"/>
          <w:lang w:val="en-AU" w:eastAsia="ko-KR"/>
        </w:rPr>
      </w:pPr>
      <w:r w:rsidRPr="00586E8A">
        <w:rPr>
          <w:rFonts w:ascii="Times New Roman" w:hAnsi="Times New Roman" w:cs="Times New Roman"/>
          <w:bCs/>
          <w:u w:color="000000"/>
          <w:lang w:val="en-AU" w:eastAsia="en-AU"/>
        </w:rPr>
        <w:t>B</w:t>
      </w:r>
      <w:r w:rsidRPr="00586E8A">
        <w:rPr>
          <w:rFonts w:ascii="Times New Roman" w:eastAsiaTheme="minorEastAsia" w:hAnsi="Times New Roman" w:cs="Times New Roman"/>
          <w:bCs/>
          <w:u w:color="000000"/>
          <w:lang w:val="en-AU" w:eastAsia="ko-KR"/>
        </w:rPr>
        <w:t>ased on the above information, SC18 advised the Commission that the Southwest Pacific blue shark is unlikely to be overfished and it is unlikely that overfishing is occurring when considered against MSY and depletion-based reference points.</w:t>
      </w:r>
    </w:p>
    <w:p w14:paraId="60872D18" w14:textId="77777777" w:rsidR="001C52E0" w:rsidRPr="00586E8A" w:rsidRDefault="001C52E0" w:rsidP="00586E8A">
      <w:pPr>
        <w:widowControl w:val="0"/>
        <w:adjustRightInd w:val="0"/>
        <w:snapToGrid w:val="0"/>
        <w:spacing w:after="0" w:line="240" w:lineRule="auto"/>
        <w:rPr>
          <w:rFonts w:ascii="Times New Roman" w:hAnsi="Times New Roman" w:cs="Times New Roman"/>
          <w:bCs/>
        </w:rPr>
      </w:pPr>
    </w:p>
    <w:p w14:paraId="3CD9CA5C" w14:textId="77777777" w:rsidR="001C52E0" w:rsidRPr="00586E8A" w:rsidRDefault="001C52E0" w:rsidP="00586E8A">
      <w:pPr>
        <w:widowControl w:val="0"/>
        <w:numPr>
          <w:ilvl w:val="0"/>
          <w:numId w:val="15"/>
        </w:numPr>
        <w:adjustRightInd w:val="0"/>
        <w:snapToGrid w:val="0"/>
        <w:spacing w:after="0" w:line="240" w:lineRule="auto"/>
        <w:ind w:left="0" w:firstLine="0"/>
        <w:rPr>
          <w:rFonts w:ascii="Times New Roman" w:hAnsi="Times New Roman" w:cs="Times New Roman"/>
          <w:b/>
          <w:bCs/>
        </w:rPr>
      </w:pPr>
      <w:r w:rsidRPr="00586E8A">
        <w:rPr>
          <w:rFonts w:ascii="Times New Roman" w:hAnsi="Times New Roman" w:cs="Times New Roman"/>
          <w:b/>
          <w:bCs/>
        </w:rPr>
        <w:t>Future research recommendations</w:t>
      </w:r>
    </w:p>
    <w:p w14:paraId="0A3500B2" w14:textId="77777777" w:rsidR="001C52E0" w:rsidRPr="00586E8A" w:rsidRDefault="001C52E0" w:rsidP="00586E8A">
      <w:pPr>
        <w:widowControl w:val="0"/>
        <w:adjustRightInd w:val="0"/>
        <w:snapToGrid w:val="0"/>
        <w:spacing w:after="0" w:line="240" w:lineRule="auto"/>
        <w:rPr>
          <w:rFonts w:ascii="Times New Roman" w:hAnsi="Times New Roman" w:cs="Times New Roman"/>
        </w:rPr>
      </w:pPr>
    </w:p>
    <w:p w14:paraId="2E6854E7" w14:textId="77777777" w:rsidR="001C52E0" w:rsidRPr="00586E8A" w:rsidRDefault="001C52E0" w:rsidP="00586E8A">
      <w:pPr>
        <w:widowControl w:val="0"/>
        <w:numPr>
          <w:ilvl w:val="0"/>
          <w:numId w:val="14"/>
        </w:numPr>
        <w:tabs>
          <w:tab w:val="left" w:pos="0"/>
        </w:tabs>
        <w:kinsoku w:val="0"/>
        <w:overflowPunct w:val="0"/>
        <w:autoSpaceDE w:val="0"/>
        <w:autoSpaceDN w:val="0"/>
        <w:adjustRightInd w:val="0"/>
        <w:snapToGrid w:val="0"/>
        <w:spacing w:after="0" w:line="240" w:lineRule="auto"/>
        <w:ind w:left="0" w:firstLine="0"/>
        <w:jc w:val="both"/>
        <w:rPr>
          <w:rFonts w:ascii="Times New Roman" w:eastAsiaTheme="minorEastAsia" w:hAnsi="Times New Roman" w:cs="Times New Roman"/>
          <w:b/>
          <w:u w:color="000000"/>
          <w:lang w:val="en-AU" w:eastAsia="ko-KR"/>
        </w:rPr>
      </w:pPr>
      <w:r w:rsidRPr="00586E8A">
        <w:rPr>
          <w:rFonts w:ascii="Times New Roman" w:hAnsi="Times New Roman" w:cs="Times New Roman"/>
          <w:b/>
        </w:rPr>
        <w:t>SC18 noted the following research recommendations to achieve improvement in future shark assessments</w:t>
      </w:r>
      <w:r w:rsidRPr="00586E8A">
        <w:rPr>
          <w:rFonts w:ascii="Times New Roman" w:eastAsiaTheme="minorEastAsia" w:hAnsi="Times New Roman" w:cs="Times New Roman"/>
          <w:b/>
          <w:u w:color="000000"/>
          <w:lang w:val="en-AU" w:eastAsia="ko-KR"/>
        </w:rPr>
        <w:t>:</w:t>
      </w:r>
    </w:p>
    <w:p w14:paraId="738DEA25" w14:textId="77777777" w:rsidR="001C52E0" w:rsidRPr="00586E8A" w:rsidRDefault="001C52E0" w:rsidP="00586E8A">
      <w:pPr>
        <w:widowControl w:val="0"/>
        <w:tabs>
          <w:tab w:val="left" w:pos="0"/>
        </w:tabs>
        <w:kinsoku w:val="0"/>
        <w:overflowPunct w:val="0"/>
        <w:autoSpaceDE w:val="0"/>
        <w:autoSpaceDN w:val="0"/>
        <w:adjustRightInd w:val="0"/>
        <w:snapToGrid w:val="0"/>
        <w:spacing w:after="0" w:line="240" w:lineRule="auto"/>
        <w:jc w:val="both"/>
        <w:rPr>
          <w:rFonts w:ascii="Times New Roman" w:eastAsiaTheme="minorEastAsia" w:hAnsi="Times New Roman" w:cs="Times New Roman"/>
          <w:bCs/>
          <w:u w:color="000000"/>
          <w:lang w:val="en-AU" w:eastAsia="ko-KR"/>
        </w:rPr>
      </w:pPr>
    </w:p>
    <w:p w14:paraId="265C918B"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Providing more time, either as inter-session projects, or by extending </w:t>
      </w:r>
      <w:proofErr w:type="gramStart"/>
      <w:r w:rsidRPr="00586E8A">
        <w:rPr>
          <w:rFonts w:ascii="Times New Roman" w:hAnsi="Times New Roman"/>
          <w:bCs/>
        </w:rPr>
        <w:t>time-frames</w:t>
      </w:r>
      <w:proofErr w:type="gramEnd"/>
      <w:r w:rsidRPr="00586E8A">
        <w:rPr>
          <w:rFonts w:ascii="Times New Roman" w:hAnsi="Times New Roman"/>
          <w:bCs/>
        </w:rPr>
        <w:t xml:space="preserve"> for shark data analyses. This will allow more thorough investigation of input data quality and trends, which shape assessment choices. In addition, it would allow input analyses to be completed in time to be presented to the SPC’s Pre-assessment Workshop prior to the stock assessment. In addition, allowing more time for the assessments themselves will allow a more thorough investigation of alternative model structures, which may include comparisons with low-information methods such as spatial risk assessments. </w:t>
      </w:r>
    </w:p>
    <w:p w14:paraId="48483DF7"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Increased effort to reconstruct catch histories for sharks (and other bycatch species) from a range of sources. Our catch reconstruction models showed that model assumptions and formulation can have important implications for reconstructed catches. Additional data sources, such as log-sheet reported captures from reliably reporting vessels, may be incorporated into integrated catch-reconstruction models to fill gaps in observer coverage. </w:t>
      </w:r>
    </w:p>
    <w:p w14:paraId="167DF69D"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Additional tagging be carried out using satellite tags in a range of locations, especially known nursery grounds in South-East Australia and New Zealand, as well as high seas areas to the north and east of New Zealand, where catch-rates are high. Such tagging may help to resolve questions about the degree of natal homing and mixing of the stock. </w:t>
      </w:r>
    </w:p>
    <w:p w14:paraId="796A9C41"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Tagging may also help to obtain better estimates of natural mortality, if carried out in sufficient numbers. This could be taken up as part of the WCPFC Shark Research Plan to assess the feasibility and scale of such an analysis. </w:t>
      </w:r>
    </w:p>
    <w:p w14:paraId="09F964CD"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Additional growth studies from a range of locations could help build a better understanding of typical growth, as well as regional growth differences. Current growth data are conflicting, despite evidence that populations at locations of current tagging studies are likely connected or represent individuals from the same population. </w:t>
      </w:r>
    </w:p>
    <w:p w14:paraId="3F9CB143" w14:textId="77777777" w:rsidR="001C52E0" w:rsidRPr="00586E8A" w:rsidRDefault="001C52E0" w:rsidP="00586E8A">
      <w:pPr>
        <w:pStyle w:val="ListParagraph"/>
        <w:widowControl w:val="0"/>
        <w:numPr>
          <w:ilvl w:val="0"/>
          <w:numId w:val="17"/>
        </w:numPr>
        <w:adjustRightInd w:val="0"/>
        <w:snapToGrid w:val="0"/>
        <w:ind w:left="1260" w:hanging="552"/>
        <w:contextualSpacing w:val="0"/>
        <w:rPr>
          <w:rFonts w:ascii="Times New Roman" w:hAnsi="Times New Roman"/>
          <w:bCs/>
        </w:rPr>
      </w:pPr>
      <w:r w:rsidRPr="00586E8A">
        <w:rPr>
          <w:rFonts w:ascii="Times New Roman" w:hAnsi="Times New Roman"/>
          <w:bCs/>
        </w:rPr>
        <w:t xml:space="preserve">Genetic/genomic studies could be undertaken to augment the tagging work to help resolve these stock/sub-stock structure patterns. To support this work, a strategic tissue sampling program for sharks is recommended with samples to be stored and curated in the Pacific Marine Specimen Bank. </w:t>
      </w:r>
    </w:p>
    <w:p w14:paraId="321EEC4C" w14:textId="34980197" w:rsidR="001C52E0" w:rsidRDefault="001C52E0" w:rsidP="00586E8A">
      <w:pPr>
        <w:spacing w:after="0" w:line="240" w:lineRule="auto"/>
        <w:rPr>
          <w:rFonts w:ascii="Times New Roman" w:hAnsi="Times New Roman" w:cs="Times New Roman"/>
          <w:bCs/>
        </w:rPr>
      </w:pPr>
    </w:p>
    <w:p w14:paraId="4681DDC3" w14:textId="77777777" w:rsidR="00586E8A" w:rsidRPr="00586E8A" w:rsidRDefault="00586E8A" w:rsidP="00586E8A">
      <w:pPr>
        <w:spacing w:after="0" w:line="240" w:lineRule="auto"/>
        <w:rPr>
          <w:rFonts w:ascii="Times New Roman" w:hAnsi="Times New Roman" w:cs="Times New Roman"/>
          <w:bCs/>
        </w:rPr>
      </w:pPr>
    </w:p>
    <w:p w14:paraId="5DC4AEA3" w14:textId="09BE5599" w:rsidR="001107B0" w:rsidRPr="002523D2" w:rsidRDefault="001107B0" w:rsidP="00253E39">
      <w:pPr>
        <w:pStyle w:val="Heading1"/>
        <w:adjustRightInd w:val="0"/>
        <w:snapToGrid w:val="0"/>
        <w:spacing w:before="0" w:line="240" w:lineRule="auto"/>
        <w:rPr>
          <w:rFonts w:ascii="Times New Roman" w:hAnsi="Times New Roman" w:cs="Times New Roman"/>
          <w:b/>
          <w:bCs/>
          <w:sz w:val="28"/>
          <w:szCs w:val="28"/>
        </w:rPr>
      </w:pPr>
      <w:bookmarkStart w:id="1" w:name="_Toc124762109"/>
      <w:r w:rsidRPr="002523D2">
        <w:rPr>
          <w:rFonts w:ascii="Times New Roman" w:hAnsi="Times New Roman" w:cs="Times New Roman"/>
          <w:b/>
          <w:bCs/>
          <w:sz w:val="28"/>
          <w:szCs w:val="28"/>
        </w:rPr>
        <w:t>SC17</w:t>
      </w:r>
      <w:r w:rsidR="001C52E0">
        <w:rPr>
          <w:rFonts w:ascii="Times New Roman" w:hAnsi="Times New Roman" w:cs="Times New Roman"/>
          <w:b/>
          <w:bCs/>
          <w:sz w:val="28"/>
          <w:szCs w:val="28"/>
        </w:rPr>
        <w:t xml:space="preserve"> </w:t>
      </w:r>
      <w:r w:rsidRPr="002523D2">
        <w:rPr>
          <w:rFonts w:ascii="Times New Roman" w:hAnsi="Times New Roman" w:cs="Times New Roman"/>
          <w:b/>
          <w:bCs/>
          <w:sz w:val="28"/>
          <w:szCs w:val="28"/>
        </w:rPr>
        <w:t>2021 (STOCK ASSESSMENT CONDUCTED)</w:t>
      </w:r>
      <w:bookmarkEnd w:id="1"/>
    </w:p>
    <w:p w14:paraId="443A5903" w14:textId="77777777" w:rsidR="009F53E7" w:rsidRPr="008B79B0" w:rsidRDefault="009F53E7" w:rsidP="009F53E7">
      <w:pPr>
        <w:pStyle w:val="SCtext"/>
        <w:numPr>
          <w:ilvl w:val="0"/>
          <w:numId w:val="0"/>
        </w:numPr>
        <w:adjustRightInd w:val="0"/>
        <w:rPr>
          <w:color w:val="FF0000"/>
          <w:sz w:val="22"/>
          <w:szCs w:val="22"/>
          <w:lang w:val="en-AU"/>
        </w:rPr>
      </w:pPr>
    </w:p>
    <w:p w14:paraId="43F867F8" w14:textId="21FEB817" w:rsidR="009F53E7" w:rsidRPr="002523D2" w:rsidRDefault="009F53E7" w:rsidP="00D97CEC">
      <w:pPr>
        <w:pStyle w:val="SCtext"/>
        <w:numPr>
          <w:ilvl w:val="0"/>
          <w:numId w:val="10"/>
        </w:numPr>
        <w:adjustRightInd w:val="0"/>
        <w:ind w:left="0" w:firstLine="0"/>
        <w:rPr>
          <w:color w:val="auto"/>
          <w:sz w:val="22"/>
          <w:szCs w:val="22"/>
          <w:lang w:val="en-AU"/>
        </w:rPr>
      </w:pPr>
      <w:r w:rsidRPr="002523D2">
        <w:rPr>
          <w:color w:val="auto"/>
          <w:sz w:val="22"/>
          <w:szCs w:val="22"/>
          <w:lang w:val="en-AU"/>
        </w:rPr>
        <w:t xml:space="preserve">SC17 reviewed SC17-SA-WP-03 </w:t>
      </w:r>
      <w:r w:rsidR="003073B1" w:rsidRPr="002523D2">
        <w:rPr>
          <w:color w:val="auto"/>
          <w:sz w:val="22"/>
          <w:szCs w:val="22"/>
          <w:lang w:val="en-AU"/>
        </w:rPr>
        <w:t>(</w:t>
      </w:r>
      <w:r w:rsidRPr="002523D2">
        <w:rPr>
          <w:i/>
          <w:iCs/>
          <w:color w:val="auto"/>
          <w:sz w:val="22"/>
          <w:szCs w:val="22"/>
          <w:lang w:val="en-AU"/>
        </w:rPr>
        <w:t>Stock assessment of Southwest Pacific blue shark</w:t>
      </w:r>
      <w:r w:rsidR="003073B1" w:rsidRPr="002523D2">
        <w:rPr>
          <w:i/>
          <w:iCs/>
          <w:color w:val="auto"/>
          <w:sz w:val="22"/>
          <w:szCs w:val="22"/>
          <w:lang w:val="en-AU"/>
        </w:rPr>
        <w:t>)</w:t>
      </w:r>
      <w:r w:rsidRPr="002523D2">
        <w:rPr>
          <w:color w:val="auto"/>
          <w:sz w:val="22"/>
          <w:szCs w:val="22"/>
          <w:lang w:val="en-AU"/>
        </w:rPr>
        <w:t xml:space="preserve">. </w:t>
      </w:r>
    </w:p>
    <w:p w14:paraId="2BB96A10" w14:textId="77777777" w:rsidR="009F53E7" w:rsidRPr="002523D2" w:rsidRDefault="009F53E7" w:rsidP="009F53E7">
      <w:pPr>
        <w:adjustRightInd w:val="0"/>
        <w:snapToGrid w:val="0"/>
        <w:spacing w:after="0" w:line="240" w:lineRule="auto"/>
        <w:rPr>
          <w:rFonts w:ascii="Times New Roman" w:hAnsi="Times New Roman" w:cs="Times New Roman"/>
          <w:lang w:val="en-AU"/>
        </w:rPr>
      </w:pPr>
    </w:p>
    <w:p w14:paraId="5C13C117" w14:textId="052A3A61" w:rsidR="009F53E7" w:rsidRPr="002523D2" w:rsidRDefault="009F53E7" w:rsidP="00D97CEC">
      <w:pPr>
        <w:pStyle w:val="ListParagraph"/>
        <w:numPr>
          <w:ilvl w:val="0"/>
          <w:numId w:val="11"/>
        </w:numPr>
        <w:autoSpaceDE w:val="0"/>
        <w:autoSpaceDN w:val="0"/>
        <w:adjustRightInd w:val="0"/>
        <w:snapToGrid w:val="0"/>
        <w:ind w:left="0" w:firstLine="0"/>
        <w:rPr>
          <w:rFonts w:ascii="Times New Roman" w:eastAsia="Malgun Gothic" w:hAnsi="Times New Roman"/>
          <w:b/>
          <w:lang w:val="en-AU"/>
        </w:rPr>
      </w:pPr>
      <w:r w:rsidRPr="002523D2">
        <w:rPr>
          <w:rFonts w:ascii="Times New Roman" w:eastAsia="Malgun Gothic" w:hAnsi="Times New Roman"/>
          <w:b/>
          <w:lang w:val="en-AU"/>
        </w:rPr>
        <w:t>Provision of information about indicators</w:t>
      </w:r>
    </w:p>
    <w:p w14:paraId="7CE370D4" w14:textId="77777777" w:rsidR="009F53E7" w:rsidRPr="002523D2" w:rsidRDefault="009F53E7" w:rsidP="009F53E7">
      <w:pPr>
        <w:adjustRightInd w:val="0"/>
        <w:snapToGrid w:val="0"/>
        <w:spacing w:after="0" w:line="240" w:lineRule="auto"/>
        <w:jc w:val="both"/>
        <w:rPr>
          <w:rFonts w:ascii="Times New Roman" w:hAnsi="Times New Roman" w:cs="Times New Roman"/>
          <w:lang w:val="en-AU" w:eastAsia="ja-JP"/>
        </w:rPr>
      </w:pPr>
    </w:p>
    <w:p w14:paraId="3C6C6E2D"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t xml:space="preserve">SC17 </w:t>
      </w:r>
      <w:r w:rsidRPr="002523D2">
        <w:rPr>
          <w:color w:val="auto"/>
          <w:sz w:val="22"/>
          <w:szCs w:val="22"/>
        </w:rPr>
        <w:t>noted</w:t>
      </w:r>
      <w:r w:rsidRPr="002523D2">
        <w:rPr>
          <w:color w:val="auto"/>
          <w:sz w:val="22"/>
          <w:szCs w:val="22"/>
          <w:lang w:eastAsia="ja-JP"/>
        </w:rPr>
        <w:t xml:space="preserve"> that in 2021, the three major CPUE time series (high-latitude fisheries around New Zealand and South-East Australia; mid-latitude EU-Spain fishery; and the high latitude and high seas Japan </w:t>
      </w:r>
      <w:r w:rsidRPr="002523D2">
        <w:rPr>
          <w:color w:val="auto"/>
          <w:sz w:val="22"/>
          <w:szCs w:val="22"/>
          <w:lang w:eastAsia="ja-JP"/>
        </w:rPr>
        <w:lastRenderedPageBreak/>
        <w:t>fishery) for blue shark in the South</w:t>
      </w:r>
      <w:r w:rsidRPr="002523D2">
        <w:rPr>
          <w:rFonts w:eastAsia="Batang"/>
          <w:color w:val="auto"/>
          <w:sz w:val="22"/>
          <w:szCs w:val="22"/>
          <w:lang w:eastAsia="ko-KR"/>
        </w:rPr>
        <w:t>w</w:t>
      </w:r>
      <w:r w:rsidRPr="002523D2">
        <w:rPr>
          <w:color w:val="auto"/>
          <w:sz w:val="22"/>
          <w:szCs w:val="22"/>
          <w:lang w:eastAsia="ja-JP"/>
        </w:rPr>
        <w:t>est Pacific from 1995 to 2020 indicated a consistent trend of increasing CPUE in the recent decade.</w:t>
      </w:r>
    </w:p>
    <w:p w14:paraId="26CB8340"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6876EBFD"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val="en-AU"/>
        </w:rPr>
        <w:t>SC17</w:t>
      </w:r>
      <w:r w:rsidRPr="002523D2">
        <w:rPr>
          <w:color w:val="auto"/>
          <w:sz w:val="22"/>
          <w:szCs w:val="22"/>
          <w:lang w:eastAsia="ja-JP"/>
        </w:rPr>
        <w:t xml:space="preserve"> noted that the CPUE of low latitude/high seas Japanese fishery suggested a declining trend in biomass from relatively high values of CPUE in the 1990s, reflecting increasing effort during that time, followed by a steady increase of biomass since around 2010 as effort plateaued and discard rates increased, and returned to biomass levels estimated at the beginning of the assessment period. </w:t>
      </w:r>
    </w:p>
    <w:p w14:paraId="35483C87"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2F46C4EF"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val="en-AU"/>
        </w:rPr>
        <w:t>SC17</w:t>
      </w:r>
      <w:r w:rsidRPr="002523D2">
        <w:rPr>
          <w:color w:val="auto"/>
          <w:sz w:val="22"/>
          <w:szCs w:val="22"/>
          <w:lang w:eastAsia="ja-JP"/>
        </w:rPr>
        <w:t xml:space="preserve"> noted that blue sharks are relatively productive with fast growth and high fecundity compared to other sharks. In addition, the population is structured spatially with smaller fish in the higher latitudes. </w:t>
      </w:r>
    </w:p>
    <w:p w14:paraId="48FDE003" w14:textId="77777777" w:rsidR="009F53E7" w:rsidRPr="002523D2" w:rsidRDefault="009F53E7" w:rsidP="009F53E7">
      <w:pPr>
        <w:kinsoku w:val="0"/>
        <w:overflowPunct w:val="0"/>
        <w:autoSpaceDE w:val="0"/>
        <w:autoSpaceDN w:val="0"/>
        <w:adjustRightInd w:val="0"/>
        <w:snapToGrid w:val="0"/>
        <w:spacing w:after="0" w:line="240" w:lineRule="auto"/>
        <w:jc w:val="both"/>
        <w:rPr>
          <w:rFonts w:ascii="Times New Roman" w:eastAsia="Batang" w:hAnsi="Times New Roman" w:cs="Times New Roman"/>
          <w:lang w:val="en-AU" w:eastAsia="ko-KR"/>
        </w:rPr>
      </w:pPr>
    </w:p>
    <w:p w14:paraId="4E87AF1A" w14:textId="77777777" w:rsidR="009F53E7" w:rsidRPr="002523D2" w:rsidRDefault="009F53E7" w:rsidP="00D97CEC">
      <w:pPr>
        <w:pStyle w:val="ListParagraph"/>
        <w:numPr>
          <w:ilvl w:val="0"/>
          <w:numId w:val="11"/>
        </w:numPr>
        <w:autoSpaceDE w:val="0"/>
        <w:autoSpaceDN w:val="0"/>
        <w:adjustRightInd w:val="0"/>
        <w:snapToGrid w:val="0"/>
        <w:ind w:left="0" w:firstLine="0"/>
        <w:rPr>
          <w:rFonts w:ascii="Times New Roman" w:eastAsia="Batang" w:hAnsi="Times New Roman"/>
          <w:b/>
          <w:lang w:val="en-AU" w:eastAsia="ko-KR"/>
        </w:rPr>
      </w:pPr>
      <w:r w:rsidRPr="002523D2">
        <w:rPr>
          <w:rFonts w:ascii="Times New Roman" w:hAnsi="Times New Roman"/>
          <w:b/>
          <w:lang w:val="en-AU"/>
        </w:rPr>
        <w:t xml:space="preserve">Stock status and trends </w:t>
      </w:r>
    </w:p>
    <w:p w14:paraId="46555462" w14:textId="77777777" w:rsidR="009F53E7" w:rsidRPr="002523D2" w:rsidRDefault="009F53E7" w:rsidP="009F53E7">
      <w:pPr>
        <w:pStyle w:val="ListParagraph"/>
        <w:kinsoku w:val="0"/>
        <w:overflowPunct w:val="0"/>
        <w:autoSpaceDE w:val="0"/>
        <w:autoSpaceDN w:val="0"/>
        <w:adjustRightInd w:val="0"/>
        <w:snapToGrid w:val="0"/>
        <w:ind w:left="360"/>
        <w:rPr>
          <w:rFonts w:ascii="Times New Roman" w:hAnsi="Times New Roman"/>
          <w:bCs/>
          <w:lang w:val="en-AU"/>
        </w:rPr>
      </w:pPr>
    </w:p>
    <w:p w14:paraId="52930892" w14:textId="77777777" w:rsidR="009F53E7" w:rsidRPr="002523D2" w:rsidRDefault="009F53E7" w:rsidP="009F53E7">
      <w:pPr>
        <w:pStyle w:val="SCtext"/>
        <w:adjustRightInd w:val="0"/>
        <w:ind w:left="0" w:firstLine="0"/>
        <w:rPr>
          <w:rFonts w:eastAsia="Malgun Gothic"/>
          <w:color w:val="auto"/>
          <w:sz w:val="22"/>
          <w:szCs w:val="22"/>
        </w:rPr>
      </w:pPr>
      <w:r w:rsidRPr="002523D2">
        <w:rPr>
          <w:color w:val="auto"/>
          <w:sz w:val="22"/>
          <w:szCs w:val="22"/>
          <w:lang w:eastAsia="ja-JP"/>
        </w:rPr>
        <w:t xml:space="preserve">SC17 noted that </w:t>
      </w:r>
      <w:r w:rsidRPr="002523D2">
        <w:rPr>
          <w:color w:val="auto"/>
          <w:sz w:val="22"/>
          <w:szCs w:val="22"/>
          <w:lang w:val="en-AU"/>
        </w:rPr>
        <w:t>WCPFC</w:t>
      </w:r>
      <w:r w:rsidRPr="002523D2">
        <w:rPr>
          <w:rFonts w:eastAsia="Malgun Gothic"/>
          <w:color w:val="auto"/>
          <w:sz w:val="22"/>
          <w:szCs w:val="22"/>
        </w:rPr>
        <w:t xml:space="preserve"> has not yet agreed on any reference points for Southwest</w:t>
      </w:r>
      <w:r w:rsidRPr="002523D2">
        <w:rPr>
          <w:color w:val="auto"/>
          <w:sz w:val="22"/>
          <w:szCs w:val="22"/>
          <w:lang w:eastAsia="ja-JP"/>
        </w:rPr>
        <w:t xml:space="preserve"> </w:t>
      </w:r>
      <w:r w:rsidRPr="002523D2">
        <w:rPr>
          <w:rFonts w:eastAsia="Malgun Gothic"/>
          <w:color w:val="auto"/>
          <w:sz w:val="22"/>
          <w:szCs w:val="22"/>
        </w:rPr>
        <w:t>Pacific blue shark.</w:t>
      </w:r>
    </w:p>
    <w:p w14:paraId="6DBCA220"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78A4A4B3"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t>SC17 noted that Southwest Pacific blue shark assessment was undertaken using the Stock Synthesis model framework and the structural uncertainty grid approach with 9 structural uncertainties (Catch, Discard, Initial-F, Rec. dev., High latitude CPUE, Low latitude CPUE, Natural mortality, survival function, growth) resulting in 3,</w:t>
      </w:r>
      <w:r w:rsidRPr="002523D2">
        <w:rPr>
          <w:color w:val="auto"/>
          <w:sz w:val="22"/>
          <w:szCs w:val="22"/>
          <w:lang w:val="en-AU"/>
        </w:rPr>
        <w:t>888</w:t>
      </w:r>
      <w:r w:rsidRPr="002523D2">
        <w:rPr>
          <w:color w:val="auto"/>
          <w:sz w:val="22"/>
          <w:szCs w:val="22"/>
          <w:lang w:eastAsia="ja-JP"/>
        </w:rPr>
        <w:t xml:space="preserve"> models. In addition, a surplus production model was run. SC17 noted that both assessment methods produced similar results. </w:t>
      </w:r>
    </w:p>
    <w:p w14:paraId="5F4F69A0"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0494100C"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t xml:space="preserve">SC17 </w:t>
      </w:r>
      <w:r w:rsidRPr="002523D2">
        <w:rPr>
          <w:color w:val="auto"/>
          <w:sz w:val="22"/>
          <w:szCs w:val="22"/>
          <w:lang w:val="en-AU"/>
        </w:rPr>
        <w:t>agreed</w:t>
      </w:r>
      <w:r w:rsidRPr="002523D2">
        <w:rPr>
          <w:color w:val="auto"/>
          <w:sz w:val="22"/>
          <w:szCs w:val="22"/>
          <w:lang w:eastAsia="ja-JP"/>
        </w:rPr>
        <w:t xml:space="preserve"> that the assessment was an improvement on the 2016 assessment. In particular, the catch reconstruction, CPUE time series, and re-parameterization of biological parameters using combined information from south and north Pacific assessments.</w:t>
      </w:r>
    </w:p>
    <w:p w14:paraId="3F384592"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6CD1C821"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t>SC17 noted that 90% of model runs indicated that F</w:t>
      </w:r>
      <w:r w:rsidRPr="002523D2">
        <w:rPr>
          <w:color w:val="auto"/>
          <w:sz w:val="22"/>
          <w:szCs w:val="22"/>
          <w:vertAlign w:val="subscript"/>
          <w:lang w:eastAsia="ja-JP"/>
        </w:rPr>
        <w:t>2020</w:t>
      </w:r>
      <w:r w:rsidRPr="002523D2">
        <w:rPr>
          <w:color w:val="auto"/>
          <w:sz w:val="22"/>
          <w:szCs w:val="22"/>
          <w:lang w:eastAsia="ja-JP"/>
        </w:rPr>
        <w:t xml:space="preserve"> was below F</w:t>
      </w:r>
      <w:r w:rsidRPr="002523D2">
        <w:rPr>
          <w:color w:val="auto"/>
          <w:sz w:val="22"/>
          <w:szCs w:val="22"/>
          <w:vertAlign w:val="subscript"/>
          <w:lang w:eastAsia="ja-JP"/>
        </w:rPr>
        <w:t>MSY</w:t>
      </w:r>
      <w:r w:rsidRPr="002523D2">
        <w:rPr>
          <w:color w:val="auto"/>
          <w:sz w:val="22"/>
          <w:szCs w:val="22"/>
          <w:lang w:eastAsia="ja-JP"/>
        </w:rPr>
        <w:t xml:space="preserve"> and 96% of model runs shows that SB</w:t>
      </w:r>
      <w:r w:rsidRPr="002523D2">
        <w:rPr>
          <w:color w:val="auto"/>
          <w:sz w:val="22"/>
          <w:szCs w:val="22"/>
          <w:vertAlign w:val="subscript"/>
          <w:lang w:eastAsia="ja-JP"/>
        </w:rPr>
        <w:t>2020</w:t>
      </w:r>
      <w:r w:rsidRPr="002523D2">
        <w:rPr>
          <w:color w:val="auto"/>
          <w:sz w:val="22"/>
          <w:szCs w:val="22"/>
          <w:lang w:eastAsia="ja-JP"/>
        </w:rPr>
        <w:t xml:space="preserve"> was above SB</w:t>
      </w:r>
      <w:r w:rsidRPr="002523D2">
        <w:rPr>
          <w:color w:val="auto"/>
          <w:sz w:val="22"/>
          <w:szCs w:val="22"/>
          <w:vertAlign w:val="subscript"/>
          <w:lang w:eastAsia="ja-JP"/>
        </w:rPr>
        <w:t>MSY</w:t>
      </w:r>
      <w:r w:rsidRPr="002523D2">
        <w:rPr>
          <w:color w:val="auto"/>
          <w:sz w:val="22"/>
          <w:szCs w:val="22"/>
          <w:lang w:eastAsia="ja-JP"/>
        </w:rPr>
        <w:t>. However, the model grid was not adopted by SC17 due to the views of some CCMs that a more thorough investigation of diagnostics across the grid of models was required. These CCMs recommended that residual pattern and retrospective analysis, among other approaches, would be informative, and a deeper investigation into the grid model selection and uncertainty was advised.</w:t>
      </w:r>
    </w:p>
    <w:p w14:paraId="46F78EE0"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22310F01"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val="en-AU"/>
        </w:rPr>
        <w:t>SC17</w:t>
      </w:r>
      <w:r w:rsidRPr="002523D2">
        <w:rPr>
          <w:color w:val="auto"/>
          <w:sz w:val="22"/>
          <w:szCs w:val="22"/>
          <w:lang w:eastAsia="ja-JP"/>
        </w:rPr>
        <w:t xml:space="preserve"> noted that fishing mortality has likely declined over the last decade and is currently relatively low </w:t>
      </w:r>
      <w:proofErr w:type="gramStart"/>
      <w:r w:rsidRPr="002523D2">
        <w:rPr>
          <w:color w:val="auto"/>
          <w:sz w:val="22"/>
          <w:szCs w:val="22"/>
          <w:lang w:eastAsia="ja-JP"/>
        </w:rPr>
        <w:t>due to the fact that</w:t>
      </w:r>
      <w:proofErr w:type="gramEnd"/>
      <w:r w:rsidRPr="002523D2">
        <w:rPr>
          <w:color w:val="auto"/>
          <w:sz w:val="22"/>
          <w:szCs w:val="22"/>
          <w:lang w:eastAsia="ja-JP"/>
        </w:rPr>
        <w:t xml:space="preserve"> most sharks are released upon capture in most longline fleets.</w:t>
      </w:r>
    </w:p>
    <w:p w14:paraId="4F1954DB"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19D937F1"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val="en-AU"/>
        </w:rPr>
        <w:t>SC17</w:t>
      </w:r>
      <w:r w:rsidRPr="002523D2">
        <w:rPr>
          <w:color w:val="auto"/>
          <w:sz w:val="22"/>
          <w:szCs w:val="22"/>
          <w:lang w:eastAsia="ja-JP"/>
        </w:rPr>
        <w:t xml:space="preserve"> requested several diagnostics (i.e., CPUE’s residuals, retrospective analysis, jitter analysis, and recruitment deviations) for the diagnostic case.</w:t>
      </w:r>
    </w:p>
    <w:p w14:paraId="3D43DEFC"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6FCE397E"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val="en-AU"/>
        </w:rPr>
        <w:t>These</w:t>
      </w:r>
      <w:r w:rsidRPr="002523D2">
        <w:rPr>
          <w:color w:val="auto"/>
          <w:sz w:val="22"/>
          <w:szCs w:val="22"/>
          <w:lang w:eastAsia="ja-JP"/>
        </w:rPr>
        <w:t xml:space="preserve"> diagnostics showed that the model convergence was reasonable for the models in the uncertainty grid with low maximum gradient and positive definite of hessian matrix, but the model fitting of the CPUEs and recruitment deviations were contended by some members of the SC.</w:t>
      </w:r>
    </w:p>
    <w:p w14:paraId="55808FB5" w14:textId="77777777" w:rsidR="009F53E7" w:rsidRPr="002523D2" w:rsidRDefault="009F53E7" w:rsidP="009F53E7">
      <w:pPr>
        <w:pStyle w:val="ListParagraph"/>
        <w:kinsoku w:val="0"/>
        <w:overflowPunct w:val="0"/>
        <w:autoSpaceDE w:val="0"/>
        <w:autoSpaceDN w:val="0"/>
        <w:adjustRightInd w:val="0"/>
        <w:snapToGrid w:val="0"/>
        <w:ind w:left="360"/>
        <w:rPr>
          <w:rFonts w:ascii="Times New Roman" w:eastAsia="Batang" w:hAnsi="Times New Roman"/>
          <w:lang w:val="en-AU" w:eastAsia="ko-KR"/>
        </w:rPr>
      </w:pPr>
    </w:p>
    <w:p w14:paraId="4015F330" w14:textId="77777777" w:rsidR="009F53E7" w:rsidRPr="002523D2" w:rsidRDefault="009F53E7" w:rsidP="00D97CEC">
      <w:pPr>
        <w:pStyle w:val="ListParagraph"/>
        <w:numPr>
          <w:ilvl w:val="0"/>
          <w:numId w:val="11"/>
        </w:numPr>
        <w:autoSpaceDE w:val="0"/>
        <w:autoSpaceDN w:val="0"/>
        <w:adjustRightInd w:val="0"/>
        <w:snapToGrid w:val="0"/>
        <w:ind w:left="0" w:firstLine="0"/>
        <w:rPr>
          <w:rFonts w:ascii="Times New Roman" w:eastAsia="Batang" w:hAnsi="Times New Roman"/>
          <w:b/>
          <w:lang w:val="en-AU" w:eastAsia="ko-KR"/>
        </w:rPr>
      </w:pPr>
      <w:r w:rsidRPr="002523D2">
        <w:rPr>
          <w:rFonts w:ascii="Times New Roman" w:hAnsi="Times New Roman"/>
          <w:b/>
          <w:lang w:val="en-AU"/>
        </w:rPr>
        <w:t xml:space="preserve">Management advice and implications </w:t>
      </w:r>
    </w:p>
    <w:p w14:paraId="251F4983" w14:textId="77777777" w:rsidR="009F53E7" w:rsidRPr="002523D2" w:rsidRDefault="009F53E7" w:rsidP="009F53E7">
      <w:pPr>
        <w:kinsoku w:val="0"/>
        <w:overflowPunct w:val="0"/>
        <w:autoSpaceDE w:val="0"/>
        <w:autoSpaceDN w:val="0"/>
        <w:adjustRightInd w:val="0"/>
        <w:snapToGrid w:val="0"/>
        <w:spacing w:after="0" w:line="240" w:lineRule="auto"/>
        <w:jc w:val="both"/>
        <w:rPr>
          <w:rFonts w:ascii="Times New Roman" w:eastAsia="Batang" w:hAnsi="Times New Roman" w:cs="Times New Roman"/>
          <w:lang w:val="en-AU" w:eastAsia="ko-KR"/>
        </w:rPr>
      </w:pPr>
    </w:p>
    <w:p w14:paraId="3C53EE99"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t xml:space="preserve">SC17 </w:t>
      </w:r>
      <w:r w:rsidRPr="002523D2">
        <w:rPr>
          <w:color w:val="auto"/>
          <w:sz w:val="22"/>
          <w:szCs w:val="22"/>
          <w:lang w:val="en-AU"/>
        </w:rPr>
        <w:t>noted</w:t>
      </w:r>
      <w:r w:rsidRPr="002523D2">
        <w:rPr>
          <w:color w:val="auto"/>
          <w:sz w:val="22"/>
          <w:szCs w:val="22"/>
          <w:lang w:eastAsia="ja-JP"/>
        </w:rPr>
        <w:t xml:space="preserve">, based on the above information, that stock biomass is likely increasing, and fishing pressure has declined through the recent decade. The results indicate that, if assessed against conventional reference points, it is likely that the stock will not be found to be overfished nor would overfishing be occurring. </w:t>
      </w:r>
    </w:p>
    <w:p w14:paraId="7AF52C69" w14:textId="77777777" w:rsidR="009F53E7" w:rsidRPr="002523D2" w:rsidRDefault="009F53E7" w:rsidP="009F53E7">
      <w:pPr>
        <w:adjustRightInd w:val="0"/>
        <w:snapToGrid w:val="0"/>
        <w:spacing w:after="0" w:line="240" w:lineRule="auto"/>
        <w:jc w:val="both"/>
        <w:rPr>
          <w:rFonts w:ascii="Times New Roman" w:hAnsi="Times New Roman" w:cs="Times New Roman"/>
          <w:lang w:eastAsia="ja-JP"/>
        </w:rPr>
      </w:pPr>
    </w:p>
    <w:p w14:paraId="2AB5A744" w14:textId="77777777" w:rsidR="009F53E7" w:rsidRPr="002523D2" w:rsidRDefault="009F53E7" w:rsidP="009F53E7">
      <w:pPr>
        <w:pStyle w:val="SCtext"/>
        <w:adjustRightInd w:val="0"/>
        <w:ind w:left="0" w:firstLine="0"/>
        <w:rPr>
          <w:color w:val="auto"/>
          <w:sz w:val="22"/>
          <w:szCs w:val="22"/>
          <w:lang w:eastAsia="ja-JP"/>
        </w:rPr>
      </w:pPr>
      <w:r w:rsidRPr="002523D2">
        <w:rPr>
          <w:color w:val="auto"/>
          <w:sz w:val="22"/>
          <w:szCs w:val="22"/>
          <w:lang w:eastAsia="ja-JP"/>
        </w:rPr>
        <w:lastRenderedPageBreak/>
        <w:t xml:space="preserve">SC17 </w:t>
      </w:r>
      <w:r w:rsidRPr="002523D2">
        <w:rPr>
          <w:color w:val="auto"/>
          <w:sz w:val="22"/>
          <w:szCs w:val="22"/>
          <w:lang w:val="en-AU"/>
        </w:rPr>
        <w:t>recommended</w:t>
      </w:r>
      <w:r w:rsidRPr="002523D2">
        <w:rPr>
          <w:color w:val="auto"/>
          <w:sz w:val="22"/>
          <w:szCs w:val="22"/>
          <w:lang w:eastAsia="ja-JP"/>
        </w:rPr>
        <w:t xml:space="preserve"> improving the </w:t>
      </w:r>
      <w:proofErr w:type="gramStart"/>
      <w:r w:rsidRPr="002523D2">
        <w:rPr>
          <w:color w:val="auto"/>
          <w:sz w:val="22"/>
          <w:szCs w:val="22"/>
          <w:lang w:eastAsia="ja-JP"/>
        </w:rPr>
        <w:t>manner in which</w:t>
      </w:r>
      <w:proofErr w:type="gramEnd"/>
      <w:r w:rsidRPr="002523D2">
        <w:rPr>
          <w:color w:val="auto"/>
          <w:sz w:val="22"/>
          <w:szCs w:val="22"/>
          <w:lang w:eastAsia="ja-JP"/>
        </w:rPr>
        <w:t xml:space="preserve"> the grid was selected before approving the results for providing management advice and proposed developing objective criteria for evaluating the plausibility of the grid. It was suggested that an attempt be made to use diagnostic tests as criteria for determining the final grid of results to inform management advice and uncertainty in the assessment. The performance of each model would be assessed against the following four criteria.</w:t>
      </w:r>
    </w:p>
    <w:p w14:paraId="15DE9D91" w14:textId="77777777" w:rsidR="009F53E7" w:rsidRPr="002523D2" w:rsidRDefault="009F53E7" w:rsidP="00D97CEC">
      <w:pPr>
        <w:pStyle w:val="ListParagraph"/>
        <w:numPr>
          <w:ilvl w:val="0"/>
          <w:numId w:val="9"/>
        </w:numPr>
        <w:adjustRightInd w:val="0"/>
        <w:snapToGrid w:val="0"/>
        <w:ind w:left="1080"/>
        <w:contextualSpacing w:val="0"/>
        <w:rPr>
          <w:rFonts w:ascii="Times New Roman" w:hAnsi="Times New Roman"/>
          <w:lang w:eastAsia="ja-JP"/>
        </w:rPr>
      </w:pPr>
      <w:r w:rsidRPr="002523D2">
        <w:rPr>
          <w:rFonts w:ascii="Times New Roman" w:hAnsi="Times New Roman"/>
          <w:lang w:eastAsia="ja-JP"/>
        </w:rPr>
        <w:t>Model convergence and stability: the analysis should assess the final gradient (the final gradient should be relatively small; &lt;1e</w:t>
      </w:r>
      <w:r w:rsidRPr="002523D2">
        <w:rPr>
          <w:rFonts w:ascii="Times New Roman" w:hAnsi="Times New Roman"/>
          <w:vertAlign w:val="superscript"/>
          <w:lang w:eastAsia="ja-JP"/>
        </w:rPr>
        <w:t>4</w:t>
      </w:r>
      <w:r w:rsidRPr="002523D2">
        <w:rPr>
          <w:rFonts w:ascii="Times New Roman" w:hAnsi="Times New Roman"/>
          <w:lang w:eastAsia="ja-JP"/>
        </w:rPr>
        <w:t xml:space="preserve">), and check that the Hessian matrix is definite. Apply the jitter procedure to verify the stability of the model to evaluate whether the model has </w:t>
      </w:r>
      <w:proofErr w:type="spellStart"/>
      <w:r w:rsidRPr="002523D2">
        <w:rPr>
          <w:rFonts w:ascii="Times New Roman" w:hAnsi="Times New Roman"/>
          <w:lang w:eastAsia="ja-JP"/>
        </w:rPr>
        <w:t>converged</w:t>
      </w:r>
      <w:proofErr w:type="spellEnd"/>
      <w:r w:rsidRPr="002523D2">
        <w:rPr>
          <w:rFonts w:ascii="Times New Roman" w:hAnsi="Times New Roman"/>
          <w:lang w:eastAsia="ja-JP"/>
        </w:rPr>
        <w:t xml:space="preserve"> to a global solution rather than a local minimum.</w:t>
      </w:r>
    </w:p>
    <w:p w14:paraId="184F908E" w14:textId="77777777" w:rsidR="009F53E7" w:rsidRPr="002523D2" w:rsidRDefault="009F53E7" w:rsidP="00D97CEC">
      <w:pPr>
        <w:pStyle w:val="ListParagraph"/>
        <w:numPr>
          <w:ilvl w:val="0"/>
          <w:numId w:val="9"/>
        </w:numPr>
        <w:adjustRightInd w:val="0"/>
        <w:snapToGrid w:val="0"/>
        <w:ind w:left="1080"/>
        <w:contextualSpacing w:val="0"/>
        <w:rPr>
          <w:rFonts w:ascii="Times New Roman" w:hAnsi="Times New Roman"/>
          <w:lang w:eastAsia="ja-JP"/>
        </w:rPr>
      </w:pPr>
      <w:r w:rsidRPr="002523D2">
        <w:rPr>
          <w:rFonts w:ascii="Times New Roman" w:hAnsi="Times New Roman"/>
          <w:lang w:eastAsia="ja-JP"/>
        </w:rPr>
        <w:t>Goodness-of-fit: evaluate whether residuals patterns of the CPUE and length-frequency distributions were normally distributed or/and had temporal trends.</w:t>
      </w:r>
    </w:p>
    <w:p w14:paraId="3F695900" w14:textId="77777777" w:rsidR="009F53E7" w:rsidRPr="002523D2" w:rsidRDefault="009F53E7" w:rsidP="00D97CEC">
      <w:pPr>
        <w:pStyle w:val="ListParagraph"/>
        <w:numPr>
          <w:ilvl w:val="0"/>
          <w:numId w:val="9"/>
        </w:numPr>
        <w:adjustRightInd w:val="0"/>
        <w:snapToGrid w:val="0"/>
        <w:ind w:left="1080"/>
        <w:contextualSpacing w:val="0"/>
        <w:rPr>
          <w:rFonts w:ascii="Times New Roman" w:hAnsi="Times New Roman"/>
          <w:lang w:eastAsia="ja-JP"/>
        </w:rPr>
      </w:pPr>
      <w:r w:rsidRPr="002523D2">
        <w:rPr>
          <w:rFonts w:ascii="Times New Roman" w:hAnsi="Times New Roman"/>
          <w:lang w:eastAsia="ja-JP"/>
        </w:rPr>
        <w:t>Model consistency: retrospective analysis to check the consistency of model estimates, for example, the invariance in SB and F as the model is updated with new data in retrospect.</w:t>
      </w:r>
    </w:p>
    <w:p w14:paraId="47881E6E" w14:textId="77777777" w:rsidR="009F53E7" w:rsidRPr="002523D2" w:rsidRDefault="009F53E7" w:rsidP="00D97CEC">
      <w:pPr>
        <w:pStyle w:val="ListParagraph"/>
        <w:numPr>
          <w:ilvl w:val="0"/>
          <w:numId w:val="9"/>
        </w:numPr>
        <w:adjustRightInd w:val="0"/>
        <w:snapToGrid w:val="0"/>
        <w:ind w:left="1080"/>
        <w:contextualSpacing w:val="0"/>
        <w:rPr>
          <w:rFonts w:ascii="Times New Roman" w:hAnsi="Times New Roman"/>
          <w:lang w:eastAsia="ja-JP"/>
        </w:rPr>
      </w:pPr>
      <w:r w:rsidRPr="002523D2">
        <w:rPr>
          <w:rFonts w:ascii="Times New Roman" w:hAnsi="Times New Roman"/>
          <w:lang w:eastAsia="ja-JP"/>
        </w:rPr>
        <w:t>Prediction skill: hindcasting analysis could be done to evaluate the model prediction skill of the CPUE. When conducting hindcasting, a model is fitted to the first part of a time series and then projected over the period omitted in the original fit. Prediction skill can then be evaluated by comparing the predictions from the projection with the observations.</w:t>
      </w:r>
    </w:p>
    <w:p w14:paraId="4C043C19" w14:textId="77777777" w:rsidR="009F53E7" w:rsidRPr="002523D2" w:rsidRDefault="009F53E7" w:rsidP="009F53E7">
      <w:pPr>
        <w:pStyle w:val="WCPFC"/>
        <w:numPr>
          <w:ilvl w:val="0"/>
          <w:numId w:val="0"/>
        </w:numPr>
        <w:adjustRightInd w:val="0"/>
        <w:spacing w:after="0"/>
        <w:rPr>
          <w:rFonts w:cs="Times New Roman"/>
          <w:bCs/>
          <w:lang w:val="en-AU"/>
        </w:rPr>
      </w:pPr>
    </w:p>
    <w:p w14:paraId="7D5A8164" w14:textId="77777777" w:rsidR="009F53E7" w:rsidRPr="002523D2" w:rsidRDefault="009F53E7" w:rsidP="00D97CEC">
      <w:pPr>
        <w:pStyle w:val="ListParagraph"/>
        <w:numPr>
          <w:ilvl w:val="0"/>
          <w:numId w:val="11"/>
        </w:numPr>
        <w:autoSpaceDE w:val="0"/>
        <w:autoSpaceDN w:val="0"/>
        <w:adjustRightInd w:val="0"/>
        <w:snapToGrid w:val="0"/>
        <w:ind w:left="0" w:firstLine="0"/>
        <w:rPr>
          <w:rFonts w:ascii="Times New Roman" w:hAnsi="Times New Roman"/>
          <w:b/>
          <w:bCs/>
        </w:rPr>
      </w:pPr>
      <w:r w:rsidRPr="002523D2">
        <w:rPr>
          <w:rFonts w:ascii="Times New Roman" w:hAnsi="Times New Roman"/>
          <w:b/>
          <w:bCs/>
        </w:rPr>
        <w:t>Future research recommendations</w:t>
      </w:r>
    </w:p>
    <w:p w14:paraId="1422CF6B" w14:textId="77777777" w:rsidR="009F53E7" w:rsidRPr="002523D2" w:rsidRDefault="009F53E7" w:rsidP="009F53E7">
      <w:pPr>
        <w:kinsoku w:val="0"/>
        <w:overflowPunct w:val="0"/>
        <w:autoSpaceDE w:val="0"/>
        <w:autoSpaceDN w:val="0"/>
        <w:adjustRightInd w:val="0"/>
        <w:snapToGrid w:val="0"/>
        <w:spacing w:after="0" w:line="240" w:lineRule="auto"/>
        <w:jc w:val="both"/>
        <w:rPr>
          <w:rFonts w:ascii="Times New Roman" w:hAnsi="Times New Roman" w:cs="Times New Roman"/>
        </w:rPr>
      </w:pPr>
    </w:p>
    <w:p w14:paraId="167BF98A" w14:textId="77777777" w:rsidR="009F53E7" w:rsidRPr="002523D2" w:rsidRDefault="009F53E7" w:rsidP="009F53E7">
      <w:pPr>
        <w:pStyle w:val="SCtext"/>
        <w:adjustRightInd w:val="0"/>
        <w:ind w:left="0" w:firstLine="0"/>
        <w:rPr>
          <w:color w:val="auto"/>
          <w:sz w:val="22"/>
          <w:szCs w:val="22"/>
        </w:rPr>
      </w:pPr>
      <w:r w:rsidRPr="002523D2">
        <w:rPr>
          <w:color w:val="auto"/>
          <w:sz w:val="22"/>
          <w:szCs w:val="22"/>
          <w:lang w:val="en-AU"/>
        </w:rPr>
        <w:t>SC17</w:t>
      </w:r>
      <w:r w:rsidRPr="002523D2">
        <w:rPr>
          <w:color w:val="auto"/>
          <w:sz w:val="22"/>
          <w:szCs w:val="22"/>
        </w:rPr>
        <w:t xml:space="preserve"> recommended that:</w:t>
      </w:r>
    </w:p>
    <w:p w14:paraId="2D20E96B"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lang w:eastAsia="ja-JP"/>
        </w:rPr>
      </w:pPr>
      <w:r w:rsidRPr="002523D2">
        <w:rPr>
          <w:rFonts w:ascii="Times New Roman" w:eastAsia="MS Gothic" w:hAnsi="Times New Roman"/>
        </w:rPr>
        <w:t xml:space="preserve">increased effort be made to re-construct catch histories for sharks (and other bycatch species) from a range of </w:t>
      </w:r>
      <w:proofErr w:type="gramStart"/>
      <w:r w:rsidRPr="002523D2">
        <w:rPr>
          <w:rFonts w:ascii="Times New Roman" w:eastAsia="MS Gothic" w:hAnsi="Times New Roman"/>
        </w:rPr>
        <w:t>sources;</w:t>
      </w:r>
      <w:proofErr w:type="gramEnd"/>
    </w:p>
    <w:p w14:paraId="62A76FE2"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dynamic/non-equilibrium reference points, such as SB</w:t>
      </w:r>
      <w:r w:rsidRPr="002523D2">
        <w:rPr>
          <w:rFonts w:ascii="Times New Roman" w:eastAsia="MS Gothic" w:hAnsi="Times New Roman"/>
          <w:vertAlign w:val="subscript"/>
        </w:rPr>
        <w:t>F=0</w:t>
      </w:r>
      <w:r w:rsidRPr="002523D2">
        <w:rPr>
          <w:rFonts w:ascii="Times New Roman" w:eastAsia="MS Gothic" w:hAnsi="Times New Roman"/>
        </w:rPr>
        <w:t xml:space="preserve"> be investigated for shark stock status, as they may be more appropriate for fisheries with uncertain early exploitation history and strong environmental </w:t>
      </w:r>
      <w:proofErr w:type="gramStart"/>
      <w:r w:rsidRPr="002523D2">
        <w:rPr>
          <w:rFonts w:ascii="Times New Roman" w:eastAsia="MS Gothic" w:hAnsi="Times New Roman"/>
        </w:rPr>
        <w:t>influences;</w:t>
      </w:r>
      <w:proofErr w:type="gramEnd"/>
    </w:p>
    <w:p w14:paraId="4C7C0BEA"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 xml:space="preserve">additional tagging be carried out using satellite tags in a range of locations, especially known nursery grounds in South-East Australia and New Zealand, as well as high seas areas to the north and east of New Zealand, where catch-rates are </w:t>
      </w:r>
      <w:proofErr w:type="gramStart"/>
      <w:r w:rsidRPr="002523D2">
        <w:rPr>
          <w:rFonts w:ascii="Times New Roman" w:eastAsia="MS Gothic" w:hAnsi="Times New Roman"/>
        </w:rPr>
        <w:t>high;</w:t>
      </w:r>
      <w:proofErr w:type="gramEnd"/>
    </w:p>
    <w:p w14:paraId="4DE1EF8A"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additional</w:t>
      </w:r>
      <w:r w:rsidRPr="002523D2">
        <w:rPr>
          <w:rFonts w:ascii="Times New Roman" w:hAnsi="Times New Roman"/>
        </w:rPr>
        <w:t xml:space="preserve"> growth studies from a range of locations be undertaken to help build a better understanding of typical growth, as well as regional growth </w:t>
      </w:r>
      <w:proofErr w:type="gramStart"/>
      <w:r w:rsidRPr="002523D2">
        <w:rPr>
          <w:rFonts w:ascii="Times New Roman" w:hAnsi="Times New Roman"/>
        </w:rPr>
        <w:t>differences;</w:t>
      </w:r>
      <w:proofErr w:type="gramEnd"/>
      <w:r w:rsidRPr="002523D2">
        <w:rPr>
          <w:rFonts w:ascii="Times New Roman" w:hAnsi="Times New Roman"/>
        </w:rPr>
        <w:t xml:space="preserve"> </w:t>
      </w:r>
    </w:p>
    <w:p w14:paraId="6FAF71AC"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 xml:space="preserve">genetic/genomic studies be undertaken to augment the tagging work to help resolve these stock/sub-stock structure </w:t>
      </w:r>
      <w:proofErr w:type="gramStart"/>
      <w:r w:rsidRPr="002523D2">
        <w:rPr>
          <w:rFonts w:ascii="Times New Roman" w:eastAsia="MS Gothic" w:hAnsi="Times New Roman"/>
        </w:rPr>
        <w:t>patterns;</w:t>
      </w:r>
      <w:proofErr w:type="gramEnd"/>
    </w:p>
    <w:p w14:paraId="38A8CCF2"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aggregated data for key sharks are submitted as by ocean area not simply as WCPO and, where possible, these data should be retrospectively corrected; and</w:t>
      </w:r>
    </w:p>
    <w:p w14:paraId="3ECB2453" w14:textId="77777777" w:rsidR="009F53E7" w:rsidRPr="002523D2" w:rsidRDefault="009F53E7" w:rsidP="00D97CEC">
      <w:pPr>
        <w:pStyle w:val="ListParagraph"/>
        <w:widowControl w:val="0"/>
        <w:numPr>
          <w:ilvl w:val="0"/>
          <w:numId w:val="12"/>
        </w:numPr>
        <w:adjustRightInd w:val="0"/>
        <w:snapToGrid w:val="0"/>
        <w:ind w:left="1080"/>
        <w:contextualSpacing w:val="0"/>
        <w:rPr>
          <w:rFonts w:ascii="Times New Roman" w:eastAsia="MS Gothic" w:hAnsi="Times New Roman"/>
        </w:rPr>
      </w:pPr>
      <w:r w:rsidRPr="002523D2">
        <w:rPr>
          <w:rFonts w:ascii="Times New Roman" w:eastAsia="MS Gothic" w:hAnsi="Times New Roman"/>
        </w:rPr>
        <w:t>observers (or the vessel) should record number of shark lines deployed per set or the number of floats with shark lines.</w:t>
      </w:r>
    </w:p>
    <w:p w14:paraId="123D57C7" w14:textId="77777777" w:rsidR="009F53E7" w:rsidRPr="009F53E7" w:rsidRDefault="009F53E7" w:rsidP="00067773">
      <w:pPr>
        <w:pStyle w:val="WCPFC"/>
        <w:numPr>
          <w:ilvl w:val="0"/>
          <w:numId w:val="0"/>
        </w:numPr>
        <w:adjustRightInd w:val="0"/>
        <w:spacing w:after="0"/>
        <w:rPr>
          <w:rFonts w:cs="Times New Roman"/>
          <w:lang w:val="en-US"/>
        </w:rPr>
      </w:pPr>
    </w:p>
    <w:p w14:paraId="2C57EBA8" w14:textId="77777777" w:rsidR="009F53E7" w:rsidRPr="009F53E7" w:rsidRDefault="009F53E7" w:rsidP="009F53E7">
      <w:pPr>
        <w:spacing w:after="0" w:line="240" w:lineRule="auto"/>
        <w:rPr>
          <w:rFonts w:ascii="Times New Roman" w:hAnsi="Times New Roman" w:cs="Times New Roman"/>
        </w:rPr>
      </w:pPr>
    </w:p>
    <w:p w14:paraId="1B01D779" w14:textId="69279952" w:rsidR="00041101" w:rsidRPr="002523D2" w:rsidRDefault="00253E39" w:rsidP="00253E39">
      <w:pPr>
        <w:pStyle w:val="Heading1"/>
        <w:adjustRightInd w:val="0"/>
        <w:snapToGrid w:val="0"/>
        <w:spacing w:before="0" w:line="240" w:lineRule="auto"/>
        <w:rPr>
          <w:rFonts w:ascii="Times New Roman" w:hAnsi="Times New Roman" w:cs="Times New Roman"/>
          <w:b/>
          <w:bCs/>
          <w:sz w:val="28"/>
          <w:szCs w:val="28"/>
        </w:rPr>
      </w:pPr>
      <w:bookmarkStart w:id="2" w:name="_Toc124762110"/>
      <w:r w:rsidRPr="002523D2">
        <w:rPr>
          <w:rFonts w:ascii="Times New Roman" w:hAnsi="Times New Roman" w:cs="Times New Roman"/>
          <w:b/>
          <w:bCs/>
          <w:sz w:val="28"/>
          <w:szCs w:val="28"/>
        </w:rPr>
        <w:t>SC13</w:t>
      </w:r>
      <w:r w:rsidR="002523D2" w:rsidRPr="002523D2">
        <w:rPr>
          <w:rFonts w:ascii="Times New Roman" w:hAnsi="Times New Roman" w:cs="Times New Roman"/>
          <w:b/>
          <w:bCs/>
          <w:sz w:val="28"/>
          <w:szCs w:val="28"/>
        </w:rPr>
        <w:t>-</w:t>
      </w:r>
      <w:r w:rsidRPr="002523D2">
        <w:rPr>
          <w:rFonts w:ascii="Times New Roman" w:hAnsi="Times New Roman" w:cs="Times New Roman"/>
          <w:b/>
          <w:bCs/>
          <w:sz w:val="28"/>
          <w:szCs w:val="28"/>
        </w:rPr>
        <w:t>2017 – SC</w:t>
      </w:r>
      <w:r w:rsidR="00041101" w:rsidRPr="002523D2">
        <w:rPr>
          <w:rFonts w:ascii="Times New Roman" w:hAnsi="Times New Roman" w:cs="Times New Roman"/>
          <w:b/>
          <w:bCs/>
          <w:sz w:val="28"/>
          <w:szCs w:val="28"/>
        </w:rPr>
        <w:t>1</w:t>
      </w:r>
      <w:r w:rsidR="008F2CDB" w:rsidRPr="002523D2">
        <w:rPr>
          <w:rFonts w:ascii="Times New Roman" w:hAnsi="Times New Roman" w:cs="Times New Roman"/>
          <w:b/>
          <w:bCs/>
          <w:sz w:val="28"/>
          <w:szCs w:val="28"/>
        </w:rPr>
        <w:t>6</w:t>
      </w:r>
      <w:r w:rsidR="002523D2" w:rsidRPr="002523D2">
        <w:rPr>
          <w:rFonts w:ascii="Times New Roman" w:hAnsi="Times New Roman" w:cs="Times New Roman"/>
          <w:b/>
          <w:bCs/>
          <w:sz w:val="28"/>
          <w:szCs w:val="28"/>
        </w:rPr>
        <w:t>-</w:t>
      </w:r>
      <w:r w:rsidR="00041101" w:rsidRPr="002523D2">
        <w:rPr>
          <w:rFonts w:ascii="Times New Roman" w:hAnsi="Times New Roman" w:cs="Times New Roman"/>
          <w:b/>
          <w:bCs/>
          <w:sz w:val="28"/>
          <w:szCs w:val="28"/>
        </w:rPr>
        <w:t>20</w:t>
      </w:r>
      <w:r w:rsidR="008F2CDB" w:rsidRPr="002523D2">
        <w:rPr>
          <w:rFonts w:ascii="Times New Roman" w:hAnsi="Times New Roman" w:cs="Times New Roman"/>
          <w:b/>
          <w:bCs/>
          <w:sz w:val="28"/>
          <w:szCs w:val="28"/>
        </w:rPr>
        <w:t>20</w:t>
      </w:r>
      <w:r w:rsidR="00041101" w:rsidRPr="002523D2">
        <w:rPr>
          <w:rFonts w:ascii="Times New Roman" w:hAnsi="Times New Roman" w:cs="Times New Roman"/>
          <w:b/>
          <w:bCs/>
          <w:sz w:val="28"/>
          <w:szCs w:val="28"/>
        </w:rPr>
        <w:t xml:space="preserve"> (NO STOCK ASSESSMENT</w:t>
      </w:r>
      <w:r w:rsidRPr="002523D2">
        <w:rPr>
          <w:rFonts w:ascii="Times New Roman" w:hAnsi="Times New Roman" w:cs="Times New Roman"/>
          <w:b/>
          <w:bCs/>
          <w:sz w:val="28"/>
          <w:szCs w:val="28"/>
        </w:rPr>
        <w:t>S</w:t>
      </w:r>
      <w:r w:rsidR="00041101" w:rsidRPr="002523D2">
        <w:rPr>
          <w:rFonts w:ascii="Times New Roman" w:hAnsi="Times New Roman" w:cs="Times New Roman"/>
          <w:b/>
          <w:bCs/>
          <w:sz w:val="28"/>
          <w:szCs w:val="28"/>
        </w:rPr>
        <w:t>)</w:t>
      </w:r>
      <w:bookmarkEnd w:id="2"/>
    </w:p>
    <w:p w14:paraId="2A1836E3" w14:textId="74F8EC8A" w:rsidR="00253E39" w:rsidRPr="002523D2" w:rsidRDefault="00253E39" w:rsidP="00253E39">
      <w:pPr>
        <w:pStyle w:val="ListParagraph"/>
        <w:adjustRightInd w:val="0"/>
        <w:snapToGrid w:val="0"/>
        <w:ind w:left="0" w:firstLine="0"/>
        <w:contextualSpacing w:val="0"/>
        <w:jc w:val="left"/>
        <w:rPr>
          <w:rFonts w:ascii="Times New Roman" w:hAnsi="Times New Roman"/>
          <w:b/>
          <w:bCs/>
        </w:rPr>
      </w:pPr>
    </w:p>
    <w:p w14:paraId="2687F1B0" w14:textId="54833414" w:rsidR="008F2CDB" w:rsidRPr="002523D2" w:rsidRDefault="008F2CDB" w:rsidP="00D97CEC">
      <w:pPr>
        <w:pStyle w:val="ListParagraph"/>
        <w:numPr>
          <w:ilvl w:val="0"/>
          <w:numId w:val="8"/>
        </w:numPr>
        <w:kinsoku w:val="0"/>
        <w:overflowPunct w:val="0"/>
        <w:autoSpaceDE w:val="0"/>
        <w:autoSpaceDN w:val="0"/>
        <w:adjustRightInd w:val="0"/>
        <w:snapToGrid w:val="0"/>
        <w:ind w:left="0" w:firstLine="0"/>
        <w:contextualSpacing w:val="0"/>
        <w:rPr>
          <w:rFonts w:ascii="Times New Roman" w:hAnsi="Times New Roman"/>
        </w:rPr>
      </w:pPr>
      <w:r w:rsidRPr="002523D2">
        <w:rPr>
          <w:rFonts w:ascii="Times New Roman" w:hAnsi="Times New Roman"/>
        </w:rPr>
        <w:t xml:space="preserve">There </w:t>
      </w:r>
      <w:r w:rsidR="00A45AEE" w:rsidRPr="002523D2">
        <w:rPr>
          <w:rFonts w:ascii="Times New Roman" w:hAnsi="Times New Roman"/>
        </w:rPr>
        <w:t>we</w:t>
      </w:r>
      <w:r w:rsidR="00A45AEE">
        <w:rPr>
          <w:rFonts w:ascii="Times New Roman" w:hAnsi="Times New Roman"/>
        </w:rPr>
        <w:t>re</w:t>
      </w:r>
      <w:r w:rsidR="00A45AEE" w:rsidRPr="002523D2">
        <w:rPr>
          <w:rFonts w:ascii="Times New Roman" w:hAnsi="Times New Roman"/>
        </w:rPr>
        <w:t xml:space="preserve"> </w:t>
      </w:r>
      <w:r w:rsidRPr="002523D2">
        <w:rPr>
          <w:rFonts w:ascii="Times New Roman" w:hAnsi="Times New Roman"/>
        </w:rPr>
        <w:t>no stock assessment</w:t>
      </w:r>
      <w:r w:rsidR="00A45AEE">
        <w:rPr>
          <w:rFonts w:ascii="Times New Roman" w:hAnsi="Times New Roman"/>
        </w:rPr>
        <w:t>s</w:t>
      </w:r>
      <w:r w:rsidRPr="002523D2">
        <w:rPr>
          <w:rFonts w:ascii="Times New Roman" w:hAnsi="Times New Roman"/>
        </w:rPr>
        <w:t xml:space="preserve"> for south</w:t>
      </w:r>
      <w:r w:rsidR="00A14265">
        <w:rPr>
          <w:rFonts w:ascii="Times New Roman" w:hAnsi="Times New Roman"/>
        </w:rPr>
        <w:t>west</w:t>
      </w:r>
      <w:r w:rsidRPr="002523D2">
        <w:rPr>
          <w:rFonts w:ascii="Times New Roman" w:hAnsi="Times New Roman"/>
        </w:rPr>
        <w:t xml:space="preserve"> Pacific blue shark in </w:t>
      </w:r>
      <w:r w:rsidR="00A45AEE" w:rsidRPr="002523D2">
        <w:rPr>
          <w:rFonts w:ascii="Times New Roman" w:hAnsi="Times New Roman"/>
        </w:rPr>
        <w:t>20</w:t>
      </w:r>
      <w:r w:rsidR="00A45AEE">
        <w:rPr>
          <w:rFonts w:ascii="Times New Roman" w:hAnsi="Times New Roman"/>
        </w:rPr>
        <w:t>17 - 2020</w:t>
      </w:r>
      <w:r w:rsidRPr="002523D2">
        <w:rPr>
          <w:rFonts w:ascii="Times New Roman" w:hAnsi="Times New Roman"/>
        </w:rPr>
        <w:t xml:space="preserve">. This was not discussed at </w:t>
      </w:r>
      <w:r w:rsidR="00A45AEE" w:rsidRPr="002523D2">
        <w:rPr>
          <w:rFonts w:ascii="Times New Roman" w:hAnsi="Times New Roman"/>
        </w:rPr>
        <w:t>SC1</w:t>
      </w:r>
      <w:r w:rsidR="00A45AEE">
        <w:rPr>
          <w:rFonts w:ascii="Times New Roman" w:hAnsi="Times New Roman"/>
        </w:rPr>
        <w:t>6</w:t>
      </w:r>
      <w:r w:rsidR="00A45AEE" w:rsidRPr="002523D2">
        <w:rPr>
          <w:rFonts w:ascii="Times New Roman" w:hAnsi="Times New Roman"/>
        </w:rPr>
        <w:t xml:space="preserve"> </w:t>
      </w:r>
      <w:r w:rsidRPr="002523D2">
        <w:rPr>
          <w:rFonts w:ascii="Times New Roman" w:hAnsi="Times New Roman"/>
        </w:rPr>
        <w:t>due to its streamlined agenda and discussions were conducted virtually due to the impacts of COVID-19 pandemic. Therefore, the stock status descriptions and management advice from SC1</w:t>
      </w:r>
      <w:r w:rsidR="00A45AEE">
        <w:rPr>
          <w:rFonts w:ascii="Times New Roman" w:hAnsi="Times New Roman"/>
        </w:rPr>
        <w:t>5</w:t>
      </w:r>
      <w:r w:rsidRPr="002523D2">
        <w:rPr>
          <w:rFonts w:ascii="Times New Roman" w:hAnsi="Times New Roman"/>
        </w:rPr>
        <w:t xml:space="preserve"> are still current for south</w:t>
      </w:r>
      <w:r w:rsidR="00A45AEE">
        <w:rPr>
          <w:rFonts w:ascii="Times New Roman" w:hAnsi="Times New Roman"/>
        </w:rPr>
        <w:t>west</w:t>
      </w:r>
      <w:r w:rsidRPr="002523D2">
        <w:rPr>
          <w:rFonts w:ascii="Times New Roman" w:hAnsi="Times New Roman"/>
        </w:rPr>
        <w:t xml:space="preserve"> Pacific blue shark.</w:t>
      </w:r>
    </w:p>
    <w:p w14:paraId="484FC068" w14:textId="77777777" w:rsidR="008F2CDB" w:rsidRPr="008B79B0" w:rsidRDefault="008F2CDB" w:rsidP="008F2CDB">
      <w:pPr>
        <w:pStyle w:val="ListParagraph"/>
        <w:kinsoku w:val="0"/>
        <w:overflowPunct w:val="0"/>
        <w:autoSpaceDE w:val="0"/>
        <w:autoSpaceDN w:val="0"/>
        <w:adjustRightInd w:val="0"/>
        <w:snapToGrid w:val="0"/>
        <w:contextualSpacing w:val="0"/>
        <w:rPr>
          <w:rFonts w:ascii="Times New Roman" w:hAnsi="Times New Roman"/>
          <w:color w:val="FF0000"/>
        </w:rPr>
      </w:pPr>
    </w:p>
    <w:p w14:paraId="67B9AAE9" w14:textId="2063A75C" w:rsidR="00253E39" w:rsidRPr="00253E39" w:rsidRDefault="00253E39" w:rsidP="00D97CEC">
      <w:pPr>
        <w:pStyle w:val="ListParagraph"/>
        <w:numPr>
          <w:ilvl w:val="0"/>
          <w:numId w:val="6"/>
        </w:numPr>
        <w:adjustRightInd w:val="0"/>
        <w:snapToGrid w:val="0"/>
        <w:ind w:left="0" w:firstLine="0"/>
        <w:contextualSpacing w:val="0"/>
        <w:jc w:val="left"/>
        <w:rPr>
          <w:rFonts w:ascii="Times New Roman" w:hAnsi="Times New Roman"/>
          <w:b/>
          <w:bCs/>
        </w:rPr>
      </w:pPr>
      <w:r w:rsidRPr="00253E39">
        <w:rPr>
          <w:rFonts w:ascii="Times New Roman" w:hAnsi="Times New Roman"/>
          <w:b/>
          <w:bCs/>
        </w:rPr>
        <w:t>Stock status and trends</w:t>
      </w:r>
    </w:p>
    <w:p w14:paraId="58DE9DEF" w14:textId="77777777" w:rsidR="00253E39" w:rsidRPr="00253E39" w:rsidRDefault="00253E39" w:rsidP="00253E39">
      <w:pPr>
        <w:pStyle w:val="ListParagraph"/>
        <w:adjustRightInd w:val="0"/>
        <w:snapToGrid w:val="0"/>
        <w:ind w:left="0"/>
        <w:contextualSpacing w:val="0"/>
        <w:rPr>
          <w:rFonts w:ascii="Times New Roman" w:hAnsi="Times New Roman"/>
        </w:rPr>
      </w:pPr>
    </w:p>
    <w:p w14:paraId="6F5DCC3D" w14:textId="77777777" w:rsidR="00253E39" w:rsidRPr="00253E39" w:rsidRDefault="00253E39" w:rsidP="001107B0">
      <w:pPr>
        <w:pStyle w:val="WCPFC"/>
        <w:spacing w:after="0"/>
      </w:pPr>
      <w:r w:rsidRPr="00253E39">
        <w:t xml:space="preserve">SC15 noted that no stock assessments were conducted for South Pacific blue shark in 2019. Therefore, the stock status descriptions from SC13 are still current for South Pacific blue shark. For further </w:t>
      </w:r>
      <w:r w:rsidRPr="00253E39">
        <w:lastRenderedPageBreak/>
        <w:t xml:space="preserve">information on the stock status and trends from SC13, please see </w:t>
      </w:r>
      <w:hyperlink r:id="rId18" w:history="1">
        <w:r w:rsidRPr="00253E39">
          <w:rPr>
            <w:rStyle w:val="Hyperlink"/>
            <w:rFonts w:cs="Times New Roman"/>
          </w:rPr>
          <w:t>https://www.wcpfc.int/node/29904</w:t>
        </w:r>
      </w:hyperlink>
      <w:r w:rsidRPr="00253E39">
        <w:rPr>
          <w:color w:val="0000FF"/>
        </w:rPr>
        <w:t>.</w:t>
      </w:r>
      <w:r w:rsidRPr="00253E39">
        <w:rPr>
          <w:b/>
          <w:bCs/>
          <w:color w:val="0000FF"/>
        </w:rPr>
        <w:t xml:space="preserve"> </w:t>
      </w:r>
      <w:r w:rsidRPr="00253E39">
        <w:t>Updated information on catches was not compiled for and reviewed by SC15.</w:t>
      </w:r>
    </w:p>
    <w:p w14:paraId="7C712802" w14:textId="77777777" w:rsidR="00253E39" w:rsidRPr="00253E39" w:rsidRDefault="00253E39" w:rsidP="001107B0">
      <w:pPr>
        <w:pStyle w:val="SCa"/>
        <w:numPr>
          <w:ilvl w:val="0"/>
          <w:numId w:val="0"/>
        </w:numPr>
        <w:spacing w:after="0"/>
      </w:pPr>
    </w:p>
    <w:p w14:paraId="1C18CBA4" w14:textId="77777777" w:rsidR="00253E39" w:rsidRPr="00253E39" w:rsidRDefault="00253E39" w:rsidP="00D97CEC">
      <w:pPr>
        <w:pStyle w:val="SCa"/>
        <w:numPr>
          <w:ilvl w:val="0"/>
          <w:numId w:val="6"/>
        </w:numPr>
        <w:tabs>
          <w:tab w:val="clear" w:pos="720"/>
          <w:tab w:val="clear" w:pos="1080"/>
        </w:tabs>
        <w:spacing w:after="0"/>
        <w:ind w:left="0" w:firstLine="0"/>
      </w:pPr>
      <w:r w:rsidRPr="00253E39">
        <w:t>Management advice and implications</w:t>
      </w:r>
    </w:p>
    <w:p w14:paraId="7E49103E" w14:textId="77777777" w:rsidR="00253E39" w:rsidRPr="00253E39" w:rsidRDefault="00253E39" w:rsidP="00253E39">
      <w:pPr>
        <w:pStyle w:val="SCa"/>
        <w:numPr>
          <w:ilvl w:val="0"/>
          <w:numId w:val="0"/>
        </w:numPr>
        <w:spacing w:after="0"/>
      </w:pPr>
    </w:p>
    <w:p w14:paraId="5401072B" w14:textId="77777777" w:rsidR="00253E39" w:rsidRPr="00253E39" w:rsidRDefault="00253E39" w:rsidP="00253E39">
      <w:pPr>
        <w:pStyle w:val="WCPFC"/>
        <w:adjustRightInd w:val="0"/>
        <w:spacing w:after="0"/>
        <w:rPr>
          <w:rStyle w:val="Hyperlink"/>
          <w:rFonts w:cs="Times New Roman"/>
          <w:bCs/>
        </w:rPr>
      </w:pPr>
      <w:r w:rsidRPr="00253E39">
        <w:rPr>
          <w:rFonts w:cs="Times New Roman"/>
          <w:bCs/>
        </w:rPr>
        <w:t xml:space="preserve">SC15 noted that no management advice has been provided for </w:t>
      </w:r>
      <w:r w:rsidRPr="00253E39">
        <w:rPr>
          <w:rFonts w:cs="Times New Roman"/>
        </w:rPr>
        <w:t>South Pacific blue shark.</w:t>
      </w:r>
    </w:p>
    <w:p w14:paraId="4B547407" w14:textId="306C043F" w:rsidR="00253E39" w:rsidRDefault="00253E39" w:rsidP="00253E39">
      <w:pPr>
        <w:pStyle w:val="Heading1"/>
        <w:adjustRightInd w:val="0"/>
        <w:snapToGrid w:val="0"/>
        <w:spacing w:before="0" w:line="240" w:lineRule="auto"/>
        <w:rPr>
          <w:rFonts w:ascii="Times New Roman" w:hAnsi="Times New Roman" w:cs="Times New Roman"/>
          <w:sz w:val="22"/>
          <w:szCs w:val="22"/>
        </w:rPr>
      </w:pPr>
      <w:bookmarkStart w:id="3" w:name="_Hlk497292393"/>
      <w:bookmarkStart w:id="4" w:name="_Hlk497298628"/>
    </w:p>
    <w:p w14:paraId="3AEBAF11" w14:textId="77777777" w:rsidR="00253E39" w:rsidRPr="00253E39" w:rsidRDefault="00253E39" w:rsidP="00253E39">
      <w:pPr>
        <w:adjustRightInd w:val="0"/>
        <w:snapToGrid w:val="0"/>
        <w:spacing w:after="0" w:line="240" w:lineRule="auto"/>
      </w:pPr>
    </w:p>
    <w:p w14:paraId="15C9E503" w14:textId="0C66E553" w:rsidR="007A432D" w:rsidRPr="00253E39" w:rsidRDefault="007A432D" w:rsidP="00253E39">
      <w:pPr>
        <w:pStyle w:val="Heading1"/>
        <w:adjustRightInd w:val="0"/>
        <w:snapToGrid w:val="0"/>
        <w:spacing w:before="0" w:line="240" w:lineRule="auto"/>
        <w:rPr>
          <w:rFonts w:ascii="Times New Roman" w:hAnsi="Times New Roman" w:cs="Times New Roman"/>
          <w:b/>
          <w:bCs/>
          <w:sz w:val="28"/>
          <w:szCs w:val="28"/>
        </w:rPr>
      </w:pPr>
      <w:bookmarkStart w:id="5" w:name="_Toc124762111"/>
      <w:r w:rsidRPr="00253E39">
        <w:rPr>
          <w:rFonts w:ascii="Times New Roman" w:hAnsi="Times New Roman" w:cs="Times New Roman"/>
          <w:b/>
          <w:bCs/>
          <w:sz w:val="28"/>
          <w:szCs w:val="28"/>
        </w:rPr>
        <w:t>SC12</w:t>
      </w:r>
      <w:r w:rsidR="002523D2">
        <w:rPr>
          <w:rFonts w:ascii="Times New Roman" w:hAnsi="Times New Roman" w:cs="Times New Roman"/>
          <w:b/>
          <w:bCs/>
          <w:sz w:val="28"/>
          <w:szCs w:val="28"/>
        </w:rPr>
        <w:t>-</w:t>
      </w:r>
      <w:r w:rsidRPr="00253E39">
        <w:rPr>
          <w:rFonts w:ascii="Times New Roman" w:hAnsi="Times New Roman" w:cs="Times New Roman"/>
          <w:b/>
          <w:bCs/>
          <w:sz w:val="28"/>
          <w:szCs w:val="28"/>
        </w:rPr>
        <w:t>2016</w:t>
      </w:r>
      <w:r w:rsidR="00E0325C" w:rsidRPr="00253E39">
        <w:rPr>
          <w:rFonts w:ascii="Times New Roman" w:hAnsi="Times New Roman" w:cs="Times New Roman"/>
          <w:b/>
          <w:bCs/>
          <w:sz w:val="28"/>
          <w:szCs w:val="28"/>
        </w:rPr>
        <w:t xml:space="preserve"> (</w:t>
      </w:r>
      <w:r w:rsidR="001107B0">
        <w:rPr>
          <w:rFonts w:ascii="Times New Roman" w:hAnsi="Times New Roman" w:cs="Times New Roman"/>
          <w:b/>
          <w:bCs/>
          <w:sz w:val="28"/>
          <w:szCs w:val="28"/>
        </w:rPr>
        <w:t xml:space="preserve">STOCK </w:t>
      </w:r>
      <w:r w:rsidR="00253E39" w:rsidRPr="00253E39">
        <w:rPr>
          <w:rFonts w:ascii="Times New Roman" w:hAnsi="Times New Roman" w:cs="Times New Roman"/>
          <w:b/>
          <w:bCs/>
          <w:sz w:val="28"/>
          <w:szCs w:val="28"/>
        </w:rPr>
        <w:t>ASSESSMENT CONDUCTED</w:t>
      </w:r>
      <w:r w:rsidR="00E0325C" w:rsidRPr="00253E39">
        <w:rPr>
          <w:rFonts w:ascii="Times New Roman" w:hAnsi="Times New Roman" w:cs="Times New Roman"/>
          <w:b/>
          <w:bCs/>
          <w:sz w:val="28"/>
          <w:szCs w:val="28"/>
        </w:rPr>
        <w:t>)</w:t>
      </w:r>
      <w:bookmarkEnd w:id="5"/>
    </w:p>
    <w:bookmarkEnd w:id="3"/>
    <w:p w14:paraId="7D6360DA" w14:textId="77777777" w:rsidR="007A432D" w:rsidRPr="00253E39" w:rsidRDefault="007A432D" w:rsidP="00253E39">
      <w:pPr>
        <w:adjustRightInd w:val="0"/>
        <w:snapToGrid w:val="0"/>
        <w:spacing w:after="0" w:line="240" w:lineRule="auto"/>
        <w:rPr>
          <w:rFonts w:ascii="Times New Roman" w:hAnsi="Times New Roman" w:cs="Times New Roman"/>
        </w:rPr>
      </w:pPr>
    </w:p>
    <w:bookmarkEnd w:id="4"/>
    <w:p w14:paraId="6887974F" w14:textId="77777777" w:rsidR="0093435F" w:rsidRPr="00253E39" w:rsidRDefault="0093435F" w:rsidP="00D97CEC">
      <w:pPr>
        <w:pStyle w:val="WCPFC"/>
        <w:numPr>
          <w:ilvl w:val="0"/>
          <w:numId w:val="4"/>
        </w:numPr>
        <w:adjustRightInd w:val="0"/>
        <w:spacing w:after="0"/>
        <w:ind w:hanging="720"/>
        <w:rPr>
          <w:rFonts w:cs="Times New Roman"/>
          <w:b/>
        </w:rPr>
      </w:pPr>
      <w:r w:rsidRPr="00253E39">
        <w:rPr>
          <w:rFonts w:cs="Times New Roman"/>
          <w:b/>
        </w:rPr>
        <w:t>Stock status and trends</w:t>
      </w:r>
    </w:p>
    <w:p w14:paraId="34C4A551" w14:textId="77777777" w:rsidR="0093435F" w:rsidRPr="00253E39" w:rsidRDefault="0093435F" w:rsidP="00253E39">
      <w:pPr>
        <w:pStyle w:val="WCPFC"/>
        <w:numPr>
          <w:ilvl w:val="0"/>
          <w:numId w:val="0"/>
        </w:numPr>
        <w:adjustRightInd w:val="0"/>
        <w:spacing w:after="0"/>
        <w:rPr>
          <w:rFonts w:cs="Times New Roman"/>
          <w:b/>
        </w:rPr>
      </w:pPr>
    </w:p>
    <w:p w14:paraId="7706D250" w14:textId="77777777" w:rsidR="0093435F" w:rsidRPr="00253E39" w:rsidRDefault="0093435F" w:rsidP="00D97CEC">
      <w:pPr>
        <w:pStyle w:val="WCPFC"/>
        <w:numPr>
          <w:ilvl w:val="0"/>
          <w:numId w:val="7"/>
        </w:numPr>
        <w:adjustRightInd w:val="0"/>
        <w:spacing w:after="0"/>
        <w:rPr>
          <w:rFonts w:cs="Times New Roman"/>
          <w:bCs/>
        </w:rPr>
      </w:pPr>
      <w:r w:rsidRPr="00253E39">
        <w:rPr>
          <w:rFonts w:cs="Times New Roman"/>
          <w:bCs/>
        </w:rPr>
        <w:t>SC12 noted that WCPFC has not yet determined limit biological reference points for South Pacific blue shark.</w:t>
      </w:r>
    </w:p>
    <w:p w14:paraId="560D0BA7" w14:textId="77777777" w:rsidR="00253E39" w:rsidRDefault="00253E39" w:rsidP="00253E39">
      <w:pPr>
        <w:pStyle w:val="WCPFC"/>
        <w:numPr>
          <w:ilvl w:val="0"/>
          <w:numId w:val="0"/>
        </w:numPr>
        <w:adjustRightInd w:val="0"/>
        <w:spacing w:after="0"/>
        <w:rPr>
          <w:rFonts w:cs="Times New Roman"/>
          <w:bCs/>
        </w:rPr>
      </w:pPr>
    </w:p>
    <w:p w14:paraId="5BBF489D" w14:textId="4E560BBC" w:rsidR="0093435F" w:rsidRPr="00253E39" w:rsidRDefault="0093435F" w:rsidP="00253E39">
      <w:pPr>
        <w:pStyle w:val="WCPFC"/>
        <w:adjustRightInd w:val="0"/>
        <w:spacing w:after="0"/>
        <w:rPr>
          <w:rFonts w:cs="Times New Roman"/>
          <w:bCs/>
        </w:rPr>
      </w:pPr>
      <w:r w:rsidRPr="00253E39">
        <w:rPr>
          <w:rFonts w:cs="Times New Roman"/>
          <w:bCs/>
        </w:rPr>
        <w:t>SC12 noted that the stock status for shark assessments presented to the Scientific</w:t>
      </w:r>
      <w:r w:rsidRPr="00253E39">
        <w:rPr>
          <w:rFonts w:cs="Times New Roman"/>
          <w:bCs/>
          <w:lang w:eastAsia="ko-KR"/>
        </w:rPr>
        <w:t xml:space="preserve"> Committee</w:t>
      </w:r>
      <w:r w:rsidRPr="00253E39">
        <w:rPr>
          <w:rFonts w:cs="Times New Roman"/>
          <w:bCs/>
        </w:rPr>
        <w:t xml:space="preserve"> have been traditionally assessed relative to MSY-based reference points. It was also noted that realistic estimates of equilibrium unexploited recruitment and spawning biomass could not be obtained in the 2016 South Pacific blue shark assessment due to the lack of available data, conflicting CPUE time series, and uncertainty in the estimated stock recruitment relationship.</w:t>
      </w:r>
    </w:p>
    <w:p w14:paraId="00E368D9" w14:textId="77777777" w:rsidR="00253E39" w:rsidRDefault="00253E39" w:rsidP="00253E39">
      <w:pPr>
        <w:pStyle w:val="WCPFC"/>
        <w:numPr>
          <w:ilvl w:val="0"/>
          <w:numId w:val="0"/>
        </w:numPr>
        <w:adjustRightInd w:val="0"/>
        <w:spacing w:after="0"/>
        <w:rPr>
          <w:rFonts w:cs="Times New Roman"/>
          <w:bCs/>
        </w:rPr>
      </w:pPr>
    </w:p>
    <w:p w14:paraId="54518B1F" w14:textId="4D84F623" w:rsidR="0093435F" w:rsidRPr="00253E39" w:rsidRDefault="0093435F" w:rsidP="00253E39">
      <w:pPr>
        <w:pStyle w:val="WCPFC"/>
        <w:adjustRightInd w:val="0"/>
        <w:spacing w:after="0"/>
        <w:rPr>
          <w:rFonts w:cs="Times New Roman"/>
          <w:bCs/>
        </w:rPr>
      </w:pPr>
      <w:r w:rsidRPr="00253E39">
        <w:rPr>
          <w:rFonts w:cs="Times New Roman"/>
          <w:bCs/>
        </w:rPr>
        <w:t>SC12 noted that the 2015 catch of south Pacific blue shark provided within aggregate 5-degree square catch data was 26% lower than in 2014, and a 34% reduction over the average for 2010-14.</w:t>
      </w:r>
    </w:p>
    <w:p w14:paraId="5C8FC660" w14:textId="77777777" w:rsidR="00253E39" w:rsidRDefault="00253E39" w:rsidP="00253E39">
      <w:pPr>
        <w:pStyle w:val="WCPFC"/>
        <w:numPr>
          <w:ilvl w:val="0"/>
          <w:numId w:val="0"/>
        </w:numPr>
        <w:adjustRightInd w:val="0"/>
        <w:spacing w:after="0"/>
        <w:rPr>
          <w:rFonts w:cs="Times New Roman"/>
          <w:bCs/>
        </w:rPr>
      </w:pPr>
    </w:p>
    <w:p w14:paraId="5753072A" w14:textId="2F39EEED" w:rsidR="0093435F" w:rsidRPr="00253E39" w:rsidRDefault="0093435F" w:rsidP="00253E39">
      <w:pPr>
        <w:pStyle w:val="WCPFC"/>
        <w:adjustRightInd w:val="0"/>
        <w:spacing w:after="0"/>
        <w:rPr>
          <w:rFonts w:cs="Times New Roman"/>
          <w:bCs/>
        </w:rPr>
      </w:pPr>
      <w:r w:rsidRPr="00253E39">
        <w:rPr>
          <w:rFonts w:cs="Times New Roman"/>
          <w:bCs/>
        </w:rPr>
        <w:t xml:space="preserve">SC12 noted that the 2016 South Pacific blue shark assessment is preliminary and </w:t>
      </w:r>
      <w:proofErr w:type="gramStart"/>
      <w:r w:rsidRPr="00253E39">
        <w:rPr>
          <w:rFonts w:cs="Times New Roman"/>
          <w:bCs/>
        </w:rPr>
        <w:t>is considered to be</w:t>
      </w:r>
      <w:proofErr w:type="gramEnd"/>
      <w:r w:rsidRPr="00253E39">
        <w:rPr>
          <w:rFonts w:cs="Times New Roman"/>
          <w:bCs/>
        </w:rPr>
        <w:t xml:space="preserve"> a work in progress. As a result, it cannot be used to determine stock status and form the basis of management advice. </w:t>
      </w:r>
    </w:p>
    <w:p w14:paraId="0C3A824A" w14:textId="77777777" w:rsidR="00253E39" w:rsidRDefault="00253E39" w:rsidP="00253E39">
      <w:pPr>
        <w:pStyle w:val="WCPFC"/>
        <w:numPr>
          <w:ilvl w:val="0"/>
          <w:numId w:val="0"/>
        </w:numPr>
        <w:adjustRightInd w:val="0"/>
        <w:spacing w:after="0"/>
        <w:rPr>
          <w:rFonts w:cs="Times New Roman"/>
          <w:bCs/>
        </w:rPr>
      </w:pPr>
    </w:p>
    <w:p w14:paraId="2746CD78" w14:textId="12BA32C6" w:rsidR="0093435F" w:rsidRPr="00253E39" w:rsidRDefault="0093435F" w:rsidP="00253E39">
      <w:pPr>
        <w:pStyle w:val="WCPFC"/>
        <w:adjustRightInd w:val="0"/>
        <w:spacing w:after="0"/>
        <w:rPr>
          <w:rFonts w:cs="Times New Roman"/>
          <w:bCs/>
        </w:rPr>
      </w:pPr>
      <w:r w:rsidRPr="00253E39">
        <w:rPr>
          <w:rFonts w:cs="Times New Roman"/>
          <w:bCs/>
        </w:rPr>
        <w:t xml:space="preserve">SC12 noted that there are </w:t>
      </w:r>
      <w:proofErr w:type="gramStart"/>
      <w:r w:rsidRPr="00253E39">
        <w:rPr>
          <w:rFonts w:cs="Times New Roman"/>
          <w:bCs/>
        </w:rPr>
        <w:t>a number of</w:t>
      </w:r>
      <w:proofErr w:type="gramEnd"/>
      <w:r w:rsidRPr="00253E39">
        <w:rPr>
          <w:rFonts w:cs="Times New Roman"/>
          <w:bCs/>
        </w:rPr>
        <w:t xml:space="preserve"> data uncertainties within the South Pacific blue shark assessment, especially with regard to historical and contemporary longline catch and CPUE estimates. The data-poor nature of the South Pacific blue shark assessment indicates that an improvement in the amount and quality of available biological and fishery information will be required </w:t>
      </w:r>
      <w:proofErr w:type="gramStart"/>
      <w:r w:rsidRPr="00253E39">
        <w:rPr>
          <w:rFonts w:cs="Times New Roman"/>
          <w:bCs/>
        </w:rPr>
        <w:t>in order to</w:t>
      </w:r>
      <w:proofErr w:type="gramEnd"/>
      <w:r w:rsidRPr="00253E39">
        <w:rPr>
          <w:rFonts w:cs="Times New Roman"/>
          <w:bCs/>
        </w:rPr>
        <w:t xml:space="preserve"> develop a useful integrated stock assessment model.</w:t>
      </w:r>
    </w:p>
    <w:p w14:paraId="47B2EBEB" w14:textId="77777777" w:rsidR="00253E39" w:rsidRDefault="00253E39" w:rsidP="00253E39">
      <w:pPr>
        <w:pStyle w:val="WCPFC"/>
        <w:numPr>
          <w:ilvl w:val="0"/>
          <w:numId w:val="0"/>
        </w:numPr>
        <w:adjustRightInd w:val="0"/>
        <w:spacing w:after="0"/>
        <w:rPr>
          <w:rFonts w:cs="Times New Roman"/>
          <w:bCs/>
        </w:rPr>
      </w:pPr>
    </w:p>
    <w:p w14:paraId="62454E0E" w14:textId="3BA518BD" w:rsidR="0093435F" w:rsidRPr="00253E39" w:rsidRDefault="0093435F" w:rsidP="00253E39">
      <w:pPr>
        <w:pStyle w:val="WCPFC"/>
        <w:adjustRightInd w:val="0"/>
        <w:spacing w:after="0"/>
        <w:rPr>
          <w:rFonts w:cs="Times New Roman"/>
          <w:bCs/>
        </w:rPr>
      </w:pPr>
      <w:r w:rsidRPr="00253E39">
        <w:rPr>
          <w:rFonts w:cs="Times New Roman"/>
          <w:bCs/>
        </w:rPr>
        <w:t>SC12 noted the recommendations in the working papers (SC12</w:t>
      </w:r>
      <w:r w:rsidRPr="00253E39">
        <w:rPr>
          <w:rFonts w:cs="Times New Roman"/>
          <w:bCs/>
          <w:lang w:eastAsia="ko-KR"/>
        </w:rPr>
        <w:t>-</w:t>
      </w:r>
      <w:r w:rsidRPr="00253E39">
        <w:rPr>
          <w:rFonts w:cs="Times New Roman"/>
          <w:bCs/>
        </w:rPr>
        <w:t>SA-WP-08 and SC12</w:t>
      </w:r>
      <w:r w:rsidRPr="00253E39">
        <w:rPr>
          <w:rFonts w:cs="Times New Roman"/>
          <w:bCs/>
          <w:lang w:eastAsia="ko-KR"/>
        </w:rPr>
        <w:t>-</w:t>
      </w:r>
      <w:r w:rsidRPr="00253E39">
        <w:rPr>
          <w:rFonts w:cs="Times New Roman"/>
          <w:bCs/>
        </w:rPr>
        <w:t xml:space="preserve">SA-WP-09) for data improvements and other analytical work needed to improve the assessment for South Pacific blue </w:t>
      </w:r>
      <w:proofErr w:type="gramStart"/>
      <w:r w:rsidRPr="00253E39">
        <w:rPr>
          <w:rFonts w:cs="Times New Roman"/>
          <w:bCs/>
        </w:rPr>
        <w:t>shark, and</w:t>
      </w:r>
      <w:proofErr w:type="gramEnd"/>
      <w:r w:rsidRPr="00253E39">
        <w:rPr>
          <w:rFonts w:cs="Times New Roman"/>
          <w:bCs/>
        </w:rPr>
        <w:t xml:space="preserve"> recommends prioritizing such work.</w:t>
      </w:r>
    </w:p>
    <w:p w14:paraId="54B7688C" w14:textId="77777777" w:rsidR="00253E39" w:rsidRDefault="00253E39" w:rsidP="00253E39">
      <w:pPr>
        <w:pStyle w:val="WCPFC"/>
        <w:numPr>
          <w:ilvl w:val="0"/>
          <w:numId w:val="0"/>
        </w:numPr>
        <w:adjustRightInd w:val="0"/>
        <w:spacing w:after="0"/>
        <w:ind w:left="720"/>
        <w:rPr>
          <w:rFonts w:cs="Times New Roman"/>
          <w:b/>
        </w:rPr>
      </w:pPr>
    </w:p>
    <w:p w14:paraId="17D06AA5" w14:textId="3611675F" w:rsidR="0093435F" w:rsidRPr="00253E39" w:rsidRDefault="0093435F" w:rsidP="00D97CEC">
      <w:pPr>
        <w:pStyle w:val="WCPFC"/>
        <w:numPr>
          <w:ilvl w:val="0"/>
          <w:numId w:val="4"/>
        </w:numPr>
        <w:adjustRightInd w:val="0"/>
        <w:spacing w:after="0"/>
        <w:ind w:hanging="720"/>
        <w:rPr>
          <w:rFonts w:cs="Times New Roman"/>
          <w:b/>
        </w:rPr>
      </w:pPr>
      <w:r w:rsidRPr="00253E39">
        <w:rPr>
          <w:rFonts w:cs="Times New Roman"/>
          <w:b/>
        </w:rPr>
        <w:t>Management advice and implications</w:t>
      </w:r>
    </w:p>
    <w:p w14:paraId="31980393" w14:textId="77777777" w:rsidR="0093435F" w:rsidRPr="00253E39" w:rsidRDefault="0093435F" w:rsidP="00253E39">
      <w:pPr>
        <w:pStyle w:val="WCPFC"/>
        <w:numPr>
          <w:ilvl w:val="0"/>
          <w:numId w:val="0"/>
        </w:numPr>
        <w:adjustRightInd w:val="0"/>
        <w:spacing w:after="0"/>
        <w:ind w:left="720"/>
        <w:rPr>
          <w:rFonts w:cs="Times New Roman"/>
          <w:b/>
        </w:rPr>
      </w:pPr>
    </w:p>
    <w:p w14:paraId="2FCDEAC1" w14:textId="77777777" w:rsidR="004F5506" w:rsidRPr="00253E39" w:rsidRDefault="0093435F" w:rsidP="00253E39">
      <w:pPr>
        <w:pStyle w:val="WCPFC"/>
        <w:adjustRightInd w:val="0"/>
        <w:spacing w:after="0"/>
        <w:rPr>
          <w:rFonts w:cs="Times New Roman"/>
          <w:bCs/>
        </w:rPr>
      </w:pPr>
      <w:r w:rsidRPr="00253E39">
        <w:rPr>
          <w:rFonts w:cs="Times New Roman"/>
          <w:bCs/>
        </w:rPr>
        <w:t xml:space="preserve">SC12 noted that no management advice has been provided for South Pacific blue shark. </w:t>
      </w:r>
    </w:p>
    <w:p w14:paraId="09B3CB7A" w14:textId="77777777" w:rsidR="004F5506" w:rsidRPr="00253E39" w:rsidRDefault="004F5506"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DB05E12" w14:textId="77777777" w:rsidR="00253E39" w:rsidRPr="00253E39" w:rsidRDefault="00253E39" w:rsidP="00253E39">
      <w:pPr>
        <w:adjustRightInd w:val="0"/>
        <w:snapToGrid w:val="0"/>
        <w:spacing w:after="0" w:line="240" w:lineRule="auto"/>
        <w:rPr>
          <w:rFonts w:ascii="Times New Roman" w:eastAsia="MS Mincho" w:hAnsi="Times New Roman" w:cs="Times New Roman"/>
          <w:color w:val="2F5496" w:themeColor="accent1" w:themeShade="BF"/>
          <w:sz w:val="32"/>
          <w:szCs w:val="32"/>
          <w:lang w:val="en-NZ" w:eastAsia="en-NZ"/>
        </w:rPr>
      </w:pPr>
      <w:bookmarkStart w:id="6" w:name="_Toc495323856"/>
      <w:r w:rsidRPr="00253E39">
        <w:rPr>
          <w:rFonts w:ascii="Times New Roman" w:eastAsia="MS Mincho" w:hAnsi="Times New Roman" w:cs="Times New Roman"/>
          <w:lang w:val="en-NZ" w:eastAsia="en-NZ"/>
        </w:rPr>
        <w:br w:type="page"/>
      </w:r>
    </w:p>
    <w:p w14:paraId="5191C73C" w14:textId="5A7D8DA8" w:rsidR="005C7178" w:rsidRPr="00253E39" w:rsidRDefault="005C7178" w:rsidP="00253E39">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bookmarkStart w:id="7" w:name="_Toc124762112"/>
      <w:r w:rsidRPr="00253E39">
        <w:rPr>
          <w:rFonts w:ascii="Times New Roman" w:eastAsia="MS Mincho" w:hAnsi="Times New Roman" w:cs="Times New Roman"/>
          <w:b/>
          <w:bCs/>
          <w:caps/>
          <w:sz w:val="28"/>
          <w:szCs w:val="28"/>
          <w:lang w:val="en-NZ" w:eastAsia="en-NZ"/>
        </w:rPr>
        <w:lastRenderedPageBreak/>
        <w:t>Useful References</w:t>
      </w:r>
      <w:bookmarkEnd w:id="6"/>
      <w:bookmarkEnd w:id="7"/>
    </w:p>
    <w:p w14:paraId="60952050" w14:textId="77777777" w:rsidR="00416473" w:rsidRPr="00253E39" w:rsidRDefault="00416473" w:rsidP="00253E39">
      <w:pPr>
        <w:adjustRightInd w:val="0"/>
        <w:snapToGrid w:val="0"/>
        <w:spacing w:after="0" w:line="240" w:lineRule="auto"/>
        <w:rPr>
          <w:rFonts w:ascii="Times New Roman" w:hAnsi="Times New Roman" w:cs="Times New Roman"/>
          <w:b/>
        </w:rPr>
      </w:pPr>
    </w:p>
    <w:bookmarkStart w:id="8" w:name="_Hlk25073863"/>
    <w:p w14:paraId="2AB93E6F" w14:textId="60EBEEE3" w:rsidR="00586E8A" w:rsidRPr="00A14265" w:rsidRDefault="00586E8A" w:rsidP="00253E39">
      <w:pPr>
        <w:autoSpaceDE w:val="0"/>
        <w:autoSpaceDN w:val="0"/>
        <w:adjustRightInd w:val="0"/>
        <w:snapToGrid w:val="0"/>
        <w:spacing w:after="0" w:line="240" w:lineRule="auto"/>
        <w:jc w:val="both"/>
        <w:rPr>
          <w:rFonts w:ascii="Times New Roman" w:hAnsi="Times New Roman" w:cs="Times New Roman"/>
        </w:rPr>
      </w:pPr>
      <w:r w:rsidRPr="00A14265">
        <w:rPr>
          <w:rFonts w:ascii="Times New Roman" w:hAnsi="Times New Roman" w:cs="Times New Roman"/>
          <w:color w:val="445360"/>
          <w:shd w:val="clear" w:color="auto" w:fill="FFFFFF"/>
        </w:rPr>
        <w:fldChar w:fldCharType="begin"/>
      </w:r>
      <w:r w:rsidRPr="00A14265">
        <w:rPr>
          <w:rFonts w:ascii="Times New Roman" w:hAnsi="Times New Roman" w:cs="Times New Roman"/>
          <w:color w:val="445360"/>
          <w:shd w:val="clear" w:color="auto" w:fill="FFFFFF"/>
        </w:rPr>
        <w:instrText xml:space="preserve"> HYPERLINK "https://meetings.wcpfc.int/node/16244" </w:instrText>
      </w:r>
      <w:r w:rsidRPr="00A14265">
        <w:rPr>
          <w:rFonts w:ascii="Times New Roman" w:hAnsi="Times New Roman" w:cs="Times New Roman"/>
          <w:color w:val="445360"/>
          <w:shd w:val="clear" w:color="auto" w:fill="FFFFFF"/>
        </w:rPr>
      </w:r>
      <w:r w:rsidRPr="00A14265">
        <w:rPr>
          <w:rFonts w:ascii="Times New Roman" w:hAnsi="Times New Roman" w:cs="Times New Roman"/>
          <w:color w:val="445360"/>
          <w:shd w:val="clear" w:color="auto" w:fill="FFFFFF"/>
        </w:rPr>
        <w:fldChar w:fldCharType="separate"/>
      </w:r>
      <w:r w:rsidRPr="00A14265">
        <w:rPr>
          <w:rStyle w:val="Hyperlink"/>
          <w:rFonts w:ascii="Times New Roman" w:hAnsi="Times New Roman" w:cs="Times New Roman"/>
          <w:shd w:val="clear" w:color="auto" w:fill="FFFFFF"/>
        </w:rPr>
        <w:t>SC18-SA-WP-03</w:t>
      </w:r>
      <w:r w:rsidRPr="00A14265">
        <w:rPr>
          <w:rFonts w:ascii="Times New Roman" w:hAnsi="Times New Roman" w:cs="Times New Roman"/>
          <w:color w:val="445360"/>
          <w:shd w:val="clear" w:color="auto" w:fill="FFFFFF"/>
        </w:rPr>
        <w:fldChar w:fldCharType="end"/>
      </w:r>
      <w:r w:rsidRPr="00A14265">
        <w:rPr>
          <w:rFonts w:ascii="Times New Roman" w:hAnsi="Times New Roman" w:cs="Times New Roman"/>
        </w:rPr>
        <w:t xml:space="preserve"> Report on WCPFC project 107b: Improved stock assessment and structural uncertainty grid for Southwest Pacific blue shark (1Aug) - Rev.01. </w:t>
      </w:r>
      <w:hyperlink r:id="rId19" w:history="1">
        <w:r w:rsidRPr="00A14265">
          <w:rPr>
            <w:rStyle w:val="Hyperlink"/>
            <w:rFonts w:ascii="Times New Roman" w:hAnsi="Times New Roman" w:cs="Times New Roman"/>
          </w:rPr>
          <w:t>https://meetings.wcpfc.int/node/16244</w:t>
        </w:r>
      </w:hyperlink>
    </w:p>
    <w:p w14:paraId="6F18A07D" w14:textId="77777777" w:rsidR="00586E8A" w:rsidRPr="00586E8A" w:rsidRDefault="00586E8A"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3CEEDAB0" w14:textId="0E45E6F0"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523D2">
        <w:rPr>
          <w:rFonts w:ascii="Times New Roman" w:eastAsia="MS Mincho" w:hAnsi="Times New Roman" w:cs="Times New Roman"/>
          <w:color w:val="000000"/>
          <w:lang w:val="en-NZ" w:eastAsia="en-NZ"/>
        </w:rPr>
        <w:t>SC17-SA-WP-03</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Stock Assessment of Southwest Pacific Blue Shark (28July) - Rev.01</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Philipp Neubauer, Kath Large</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and Stephen Brouwer</w:t>
      </w:r>
      <w:r>
        <w:rPr>
          <w:rFonts w:ascii="Times New Roman" w:eastAsia="MS Mincho" w:hAnsi="Times New Roman" w:cs="Times New Roman"/>
          <w:color w:val="000000"/>
          <w:lang w:val="en-NZ" w:eastAsia="en-NZ"/>
        </w:rPr>
        <w:t xml:space="preserve">. </w:t>
      </w:r>
      <w:hyperlink r:id="rId20" w:history="1">
        <w:r w:rsidRPr="004B4312">
          <w:rPr>
            <w:rStyle w:val="Hyperlink"/>
            <w:rFonts w:ascii="Times New Roman" w:eastAsia="MS Mincho" w:hAnsi="Times New Roman" w:cs="Times New Roman"/>
            <w:lang w:val="en-NZ" w:eastAsia="en-NZ"/>
          </w:rPr>
          <w:t>https://meetings.wcpfc.int/node/12552</w:t>
        </w:r>
      </w:hyperlink>
      <w:r>
        <w:rPr>
          <w:rFonts w:ascii="Times New Roman" w:eastAsia="MS Mincho" w:hAnsi="Times New Roman" w:cs="Times New Roman"/>
          <w:color w:val="000000"/>
          <w:lang w:val="en-NZ" w:eastAsia="en-NZ"/>
        </w:rPr>
        <w:t xml:space="preserve"> </w:t>
      </w:r>
    </w:p>
    <w:p w14:paraId="0947B1EE" w14:textId="1E81BC06"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7216ED5F" w14:textId="1721672B"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523D2">
        <w:rPr>
          <w:rFonts w:ascii="Times New Roman" w:eastAsia="MS Mincho" w:hAnsi="Times New Roman" w:cs="Times New Roman"/>
          <w:color w:val="000000"/>
          <w:lang w:val="en-NZ" w:eastAsia="en-NZ"/>
        </w:rPr>
        <w:t>SC17-SA-IP-05</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Updated draft research plan for ‘key’ tuna species in the WCPO, 2021-2024</w:t>
      </w:r>
      <w:r>
        <w:rPr>
          <w:rFonts w:ascii="Times New Roman" w:eastAsia="MS Mincho" w:hAnsi="Times New Roman" w:cs="Times New Roman"/>
          <w:color w:val="000000"/>
          <w:lang w:val="en-NZ" w:eastAsia="en-NZ"/>
        </w:rPr>
        <w:t xml:space="preserve">. SPC-OFP. </w:t>
      </w:r>
      <w:hyperlink r:id="rId21" w:history="1">
        <w:r w:rsidRPr="004B4312">
          <w:rPr>
            <w:rStyle w:val="Hyperlink"/>
            <w:rFonts w:ascii="Times New Roman" w:eastAsia="MS Mincho" w:hAnsi="Times New Roman" w:cs="Times New Roman"/>
            <w:lang w:val="en-NZ" w:eastAsia="en-NZ"/>
          </w:rPr>
          <w:t>https://meetings.wcpfc.int/node/12563</w:t>
        </w:r>
      </w:hyperlink>
      <w:r>
        <w:rPr>
          <w:rFonts w:ascii="Times New Roman" w:eastAsia="MS Mincho" w:hAnsi="Times New Roman" w:cs="Times New Roman"/>
          <w:color w:val="000000"/>
          <w:lang w:val="en-NZ" w:eastAsia="en-NZ"/>
        </w:rPr>
        <w:t xml:space="preserve"> </w:t>
      </w:r>
    </w:p>
    <w:p w14:paraId="777F8C1F" w14:textId="732F879B"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01723960" w14:textId="61285A79"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523D2">
        <w:rPr>
          <w:rFonts w:ascii="Times New Roman" w:eastAsia="MS Mincho" w:hAnsi="Times New Roman" w:cs="Times New Roman"/>
          <w:color w:val="000000"/>
          <w:lang w:val="en-NZ" w:eastAsia="en-NZ"/>
        </w:rPr>
        <w:t>SC17-SA-IP-06</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Characterisation of the fisheries catching South Pacific blue shark (Prionace glauca) in the Western and Central Pacific Ocean</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Stephen Brouwer, Kath Large</w:t>
      </w:r>
      <w:r>
        <w:rPr>
          <w:rFonts w:ascii="Times New Roman" w:eastAsia="MS Mincho" w:hAnsi="Times New Roman" w:cs="Times New Roman"/>
          <w:color w:val="000000"/>
          <w:lang w:val="en-NZ" w:eastAsia="en-NZ"/>
        </w:rPr>
        <w:t xml:space="preserve"> </w:t>
      </w:r>
      <w:r w:rsidRPr="002523D2">
        <w:rPr>
          <w:rFonts w:ascii="Times New Roman" w:eastAsia="MS Mincho" w:hAnsi="Times New Roman" w:cs="Times New Roman"/>
          <w:color w:val="000000"/>
          <w:lang w:val="en-NZ" w:eastAsia="en-NZ"/>
        </w:rPr>
        <w:t>and Philipp Neubauer</w:t>
      </w:r>
      <w:r>
        <w:rPr>
          <w:rFonts w:ascii="Times New Roman" w:eastAsia="MS Mincho" w:hAnsi="Times New Roman" w:cs="Times New Roman"/>
          <w:color w:val="000000"/>
          <w:lang w:val="en-NZ" w:eastAsia="en-NZ"/>
        </w:rPr>
        <w:t xml:space="preserve">. </w:t>
      </w:r>
      <w:hyperlink r:id="rId22" w:history="1">
        <w:r w:rsidRPr="004B4312">
          <w:rPr>
            <w:rStyle w:val="Hyperlink"/>
            <w:rFonts w:ascii="Times New Roman" w:eastAsia="MS Mincho" w:hAnsi="Times New Roman" w:cs="Times New Roman"/>
            <w:lang w:val="en-NZ" w:eastAsia="en-NZ"/>
          </w:rPr>
          <w:t>https://meetings.wcpfc.int/node/12564</w:t>
        </w:r>
      </w:hyperlink>
      <w:r>
        <w:rPr>
          <w:rFonts w:ascii="Times New Roman" w:eastAsia="MS Mincho" w:hAnsi="Times New Roman" w:cs="Times New Roman"/>
          <w:color w:val="000000"/>
          <w:lang w:val="en-NZ" w:eastAsia="en-NZ"/>
        </w:rPr>
        <w:t xml:space="preserve"> </w:t>
      </w:r>
    </w:p>
    <w:p w14:paraId="1DE8B3A6" w14:textId="77777777" w:rsidR="002523D2" w:rsidRDefault="002523D2"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47E957A4" w14:textId="3248621D" w:rsidR="00870DB7" w:rsidRPr="00870DB7" w:rsidRDefault="00870DB7"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870DB7">
        <w:rPr>
          <w:rFonts w:ascii="Times New Roman" w:eastAsia="MS Mincho" w:hAnsi="Times New Roman" w:cs="Times New Roman"/>
          <w:color w:val="000000"/>
          <w:lang w:val="en-NZ" w:eastAsia="en-NZ"/>
        </w:rPr>
        <w:t xml:space="preserve">SC15-SA-IP-14 </w:t>
      </w:r>
      <w:r w:rsidRPr="00870DB7">
        <w:rPr>
          <w:rFonts w:ascii="Times New Roman" w:hAnsi="Times New Roman" w:cs="Times New Roman"/>
          <w:color w:val="000000"/>
        </w:rPr>
        <w:t xml:space="preserve">Data preparation for Southeast Pacific blue and shortfin mako sharks. </w:t>
      </w:r>
      <w:hyperlink r:id="rId23" w:history="1">
        <w:r w:rsidRPr="00870DB7">
          <w:rPr>
            <w:rStyle w:val="Hyperlink"/>
            <w:rFonts w:ascii="Times New Roman" w:hAnsi="Times New Roman" w:cs="Times New Roman"/>
          </w:rPr>
          <w:t>https://www.wcpfc.int/node/43055</w:t>
        </w:r>
      </w:hyperlink>
    </w:p>
    <w:bookmarkEnd w:id="8"/>
    <w:p w14:paraId="2B9893EE" w14:textId="77777777" w:rsidR="00870DB7" w:rsidRDefault="00870DB7"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4057CE5" w14:textId="5DD410E2" w:rsidR="000E24F7" w:rsidRPr="00253E39" w:rsidRDefault="0093435F"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53E39">
        <w:rPr>
          <w:rFonts w:ascii="Times New Roman" w:eastAsia="MS Mincho" w:hAnsi="Times New Roman" w:cs="Times New Roman"/>
          <w:color w:val="000000"/>
          <w:lang w:val="en-NZ" w:eastAsia="en-NZ"/>
        </w:rPr>
        <w:t xml:space="preserve">SC13-SA-IP-13 Updated abundance indicators for New Zealand blue, porbeagle and shortfin mako sharks. </w:t>
      </w:r>
      <w:hyperlink r:id="rId24" w:history="1">
        <w:r w:rsidRPr="00253E39">
          <w:rPr>
            <w:rStyle w:val="Hyperlink"/>
            <w:rFonts w:ascii="Times New Roman" w:eastAsia="MS Mincho" w:hAnsi="Times New Roman" w:cs="Times New Roman"/>
            <w:lang w:val="en-NZ" w:eastAsia="en-NZ"/>
          </w:rPr>
          <w:t>https://www.wcpfc.int/node/29537</w:t>
        </w:r>
      </w:hyperlink>
      <w:r w:rsidRPr="00253E39">
        <w:rPr>
          <w:rFonts w:ascii="Times New Roman" w:eastAsia="MS Mincho" w:hAnsi="Times New Roman" w:cs="Times New Roman"/>
          <w:color w:val="000000"/>
          <w:lang w:val="en-NZ" w:eastAsia="en-NZ"/>
        </w:rPr>
        <w:t xml:space="preserve"> </w:t>
      </w:r>
    </w:p>
    <w:p w14:paraId="7195433E" w14:textId="77777777" w:rsidR="000E24F7" w:rsidRPr="00253E39" w:rsidRDefault="000E24F7"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06418A80" w14:textId="5C8FC760" w:rsidR="005C7178" w:rsidRPr="00253E39" w:rsidRDefault="00B74433" w:rsidP="00253E39">
      <w:pPr>
        <w:autoSpaceDE w:val="0"/>
        <w:autoSpaceDN w:val="0"/>
        <w:adjustRightInd w:val="0"/>
        <w:snapToGrid w:val="0"/>
        <w:spacing w:after="0" w:line="240" w:lineRule="auto"/>
        <w:jc w:val="both"/>
        <w:rPr>
          <w:rFonts w:ascii="Times New Roman" w:hAnsi="Times New Roman" w:cs="Times New Roman"/>
        </w:rPr>
      </w:pPr>
      <w:r w:rsidRPr="00253E39">
        <w:rPr>
          <w:rFonts w:ascii="Times New Roman" w:eastAsia="MS Mincho" w:hAnsi="Times New Roman" w:cs="Times New Roman"/>
          <w:color w:val="000000"/>
          <w:lang w:val="en-NZ" w:eastAsia="en-NZ"/>
        </w:rPr>
        <w:t>SC</w:t>
      </w:r>
      <w:r w:rsidR="0093435F" w:rsidRPr="00253E39">
        <w:rPr>
          <w:rFonts w:ascii="Times New Roman" w:eastAsia="MS Mincho" w:hAnsi="Times New Roman" w:cs="Times New Roman"/>
          <w:color w:val="000000"/>
          <w:lang w:val="en-NZ" w:eastAsia="en-NZ"/>
        </w:rPr>
        <w:t>12</w:t>
      </w:r>
      <w:r w:rsidR="005C7178" w:rsidRPr="00253E39">
        <w:rPr>
          <w:rFonts w:ascii="Times New Roman" w:eastAsia="MS Mincho" w:hAnsi="Times New Roman" w:cs="Times New Roman"/>
          <w:color w:val="000000"/>
          <w:lang w:val="en-NZ" w:eastAsia="en-NZ"/>
        </w:rPr>
        <w:t>-SA-WP</w:t>
      </w:r>
      <w:r w:rsidR="004F5329" w:rsidRPr="00253E39">
        <w:rPr>
          <w:rFonts w:ascii="Times New Roman" w:eastAsia="MS Mincho" w:hAnsi="Times New Roman" w:cs="Times New Roman"/>
          <w:color w:val="000000"/>
          <w:lang w:val="en-NZ" w:eastAsia="en-NZ"/>
        </w:rPr>
        <w:t>-</w:t>
      </w:r>
      <w:r w:rsidRPr="00253E39">
        <w:rPr>
          <w:rFonts w:ascii="Times New Roman" w:eastAsia="MS Mincho" w:hAnsi="Times New Roman" w:cs="Times New Roman"/>
          <w:color w:val="000000"/>
          <w:lang w:val="en-NZ" w:eastAsia="en-NZ"/>
        </w:rPr>
        <w:t>0</w:t>
      </w:r>
      <w:r w:rsidR="0093435F" w:rsidRPr="00253E39">
        <w:rPr>
          <w:rFonts w:ascii="Times New Roman" w:eastAsia="MS Mincho" w:hAnsi="Times New Roman" w:cs="Times New Roman"/>
          <w:color w:val="000000"/>
          <w:lang w:val="en-NZ" w:eastAsia="en-NZ"/>
        </w:rPr>
        <w:t>8</w:t>
      </w:r>
      <w:r w:rsidR="005C7178" w:rsidRPr="00253E39">
        <w:rPr>
          <w:rFonts w:ascii="Times New Roman" w:eastAsia="MS Mincho" w:hAnsi="Times New Roman" w:cs="Times New Roman"/>
          <w:color w:val="000000"/>
          <w:lang w:val="en-NZ" w:eastAsia="en-NZ"/>
        </w:rPr>
        <w:t xml:space="preserve"> </w:t>
      </w:r>
      <w:r w:rsidR="0093435F" w:rsidRPr="00253E39">
        <w:rPr>
          <w:rFonts w:ascii="Times New Roman" w:hAnsi="Times New Roman" w:cs="Times New Roman"/>
          <w:lang w:val="en"/>
        </w:rPr>
        <w:t xml:space="preserve">Assessment of blue shark in the southwestern Pacific Rev 1 (22 July 2016). </w:t>
      </w:r>
      <w:hyperlink r:id="rId25" w:history="1">
        <w:r w:rsidR="005A7989" w:rsidRPr="00253E39">
          <w:rPr>
            <w:rStyle w:val="Hyperlink"/>
            <w:rFonts w:ascii="Times New Roman" w:hAnsi="Times New Roman" w:cs="Times New Roman"/>
          </w:rPr>
          <w:t>https://www.wcpfc.int/node/27535</w:t>
        </w:r>
      </w:hyperlink>
      <w:r w:rsidR="005A7989" w:rsidRPr="00253E39">
        <w:rPr>
          <w:rFonts w:ascii="Times New Roman" w:hAnsi="Times New Roman" w:cs="Times New Roman"/>
        </w:rPr>
        <w:t xml:space="preserve"> </w:t>
      </w:r>
    </w:p>
    <w:p w14:paraId="1B6B1669" w14:textId="77777777" w:rsidR="0093435F" w:rsidRPr="00253E39" w:rsidRDefault="0093435F" w:rsidP="00253E39">
      <w:pPr>
        <w:autoSpaceDE w:val="0"/>
        <w:autoSpaceDN w:val="0"/>
        <w:adjustRightInd w:val="0"/>
        <w:snapToGrid w:val="0"/>
        <w:spacing w:after="0" w:line="240" w:lineRule="auto"/>
        <w:jc w:val="both"/>
        <w:rPr>
          <w:rFonts w:ascii="Times New Roman" w:hAnsi="Times New Roman" w:cs="Times New Roman"/>
        </w:rPr>
      </w:pPr>
    </w:p>
    <w:p w14:paraId="76477FAD" w14:textId="12E09E6C" w:rsidR="0093435F" w:rsidRPr="00253E39" w:rsidRDefault="0093435F" w:rsidP="00253E39">
      <w:pPr>
        <w:autoSpaceDE w:val="0"/>
        <w:autoSpaceDN w:val="0"/>
        <w:adjustRightInd w:val="0"/>
        <w:snapToGrid w:val="0"/>
        <w:spacing w:after="0" w:line="240" w:lineRule="auto"/>
        <w:jc w:val="both"/>
        <w:rPr>
          <w:rFonts w:ascii="Times New Roman" w:hAnsi="Times New Roman" w:cs="Times New Roman"/>
        </w:rPr>
      </w:pPr>
      <w:r w:rsidRPr="00253E39">
        <w:rPr>
          <w:rFonts w:ascii="Times New Roman" w:eastAsia="MS Mincho" w:hAnsi="Times New Roman" w:cs="Times New Roman"/>
          <w:color w:val="000000"/>
          <w:lang w:val="en-NZ" w:eastAsia="en-NZ"/>
        </w:rPr>
        <w:t>SC12-SA-WP-0</w:t>
      </w:r>
      <w:r w:rsidR="005A7989" w:rsidRPr="00253E39">
        <w:rPr>
          <w:rFonts w:ascii="Times New Roman" w:eastAsia="MS Mincho" w:hAnsi="Times New Roman" w:cs="Times New Roman"/>
          <w:color w:val="000000"/>
          <w:lang w:val="en-NZ" w:eastAsia="en-NZ"/>
        </w:rPr>
        <w:t>9</w:t>
      </w:r>
      <w:r w:rsidRPr="00253E39">
        <w:rPr>
          <w:rFonts w:ascii="Times New Roman" w:eastAsia="MS Mincho" w:hAnsi="Times New Roman" w:cs="Times New Roman"/>
          <w:color w:val="000000"/>
          <w:lang w:val="en-NZ" w:eastAsia="en-NZ"/>
        </w:rPr>
        <w:t xml:space="preserve"> </w:t>
      </w:r>
      <w:r w:rsidR="005A7989" w:rsidRPr="00253E39">
        <w:rPr>
          <w:rFonts w:ascii="Times New Roman" w:hAnsi="Times New Roman" w:cs="Times New Roman"/>
          <w:lang w:val="en"/>
        </w:rPr>
        <w:t>Catch and CPUE inputs to the South Pacific blue shark stock assessment Rev 1 (16 July 2016)</w:t>
      </w:r>
      <w:r w:rsidRPr="00253E39">
        <w:rPr>
          <w:rFonts w:ascii="Times New Roman" w:hAnsi="Times New Roman" w:cs="Times New Roman"/>
          <w:lang w:val="en"/>
        </w:rPr>
        <w:t xml:space="preserve">. </w:t>
      </w:r>
      <w:hyperlink r:id="rId26" w:history="1">
        <w:r w:rsidR="005A7989" w:rsidRPr="00253E39">
          <w:rPr>
            <w:rStyle w:val="Hyperlink"/>
            <w:rFonts w:ascii="Times New Roman" w:hAnsi="Times New Roman" w:cs="Times New Roman"/>
          </w:rPr>
          <w:t>https://www.wcpfc.int/node/27493</w:t>
        </w:r>
      </w:hyperlink>
    </w:p>
    <w:p w14:paraId="4EA2A95E" w14:textId="77777777" w:rsidR="00BF5825" w:rsidRPr="00253E39" w:rsidRDefault="00BF5825" w:rsidP="00253E39">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sectPr w:rsidR="00BF5825" w:rsidRPr="00253E39" w:rsidSect="00400113">
      <w:footerReference w:type="default" r:id="rId27"/>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97B1" w14:textId="77777777" w:rsidR="002F0999" w:rsidRDefault="002F0999" w:rsidP="005C2B8D">
      <w:pPr>
        <w:spacing w:after="0" w:line="240" w:lineRule="auto"/>
      </w:pPr>
      <w:r>
        <w:separator/>
      </w:r>
    </w:p>
  </w:endnote>
  <w:endnote w:type="continuationSeparator" w:id="0">
    <w:p w14:paraId="6817CA21" w14:textId="77777777" w:rsidR="002F0999" w:rsidRDefault="002F0999"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3592"/>
      <w:docPartObj>
        <w:docPartGallery w:val="Page Numbers (Bottom of Page)"/>
        <w:docPartUnique/>
      </w:docPartObj>
    </w:sdtPr>
    <w:sdtEndPr>
      <w:rPr>
        <w:noProof/>
      </w:rPr>
    </w:sdtEndPr>
    <w:sdtContent>
      <w:p w14:paraId="1BB99012" w14:textId="77777777" w:rsidR="00550074" w:rsidRDefault="00550074">
        <w:pPr>
          <w:pStyle w:val="Footer"/>
          <w:jc w:val="center"/>
        </w:pPr>
        <w:r>
          <w:fldChar w:fldCharType="begin"/>
        </w:r>
        <w:r>
          <w:instrText xml:space="preserve"> PAGE   \* MERGEFORMAT </w:instrText>
        </w:r>
        <w:r>
          <w:fldChar w:fldCharType="separate"/>
        </w:r>
        <w:r w:rsidR="00E0325C">
          <w:rPr>
            <w:noProof/>
          </w:rPr>
          <w:t>2</w:t>
        </w:r>
        <w:r>
          <w:rPr>
            <w:noProof/>
          </w:rPr>
          <w:fldChar w:fldCharType="end"/>
        </w:r>
      </w:p>
    </w:sdtContent>
  </w:sdt>
  <w:p w14:paraId="38D8C39D"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51F" w14:textId="77777777" w:rsidR="002F0999" w:rsidRDefault="002F0999" w:rsidP="005C2B8D">
      <w:pPr>
        <w:spacing w:after="0" w:line="240" w:lineRule="auto"/>
      </w:pPr>
      <w:r>
        <w:separator/>
      </w:r>
    </w:p>
  </w:footnote>
  <w:footnote w:type="continuationSeparator" w:id="0">
    <w:p w14:paraId="2B992D4B" w14:textId="77777777" w:rsidR="002F0999" w:rsidRDefault="002F0999"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B70"/>
    <w:multiLevelType w:val="hybridMultilevel"/>
    <w:tmpl w:val="6816957A"/>
    <w:lvl w:ilvl="0" w:tplc="9E92DD88">
      <w:start w:val="1"/>
      <w:numFmt w:val="low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51657"/>
    <w:multiLevelType w:val="hybridMultilevel"/>
    <w:tmpl w:val="B2B690A2"/>
    <w:lvl w:ilvl="0" w:tplc="578C00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44AD2"/>
    <w:multiLevelType w:val="hybridMultilevel"/>
    <w:tmpl w:val="17DA683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4976F2"/>
    <w:multiLevelType w:val="multilevel"/>
    <w:tmpl w:val="76C4BA5C"/>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9B1788"/>
    <w:multiLevelType w:val="hybridMultilevel"/>
    <w:tmpl w:val="FD5A14B4"/>
    <w:lvl w:ilvl="0" w:tplc="1E9E1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09250E"/>
    <w:multiLevelType w:val="hybridMultilevel"/>
    <w:tmpl w:val="7F40294A"/>
    <w:lvl w:ilvl="0" w:tplc="E71CC1CE">
      <w:start w:val="2"/>
      <w:numFmt w:val="decimal"/>
      <w:pStyle w:val="WCPFC"/>
      <w:lvlText w:val="%1."/>
      <w:lvlJc w:val="left"/>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B556902"/>
    <w:multiLevelType w:val="hybridMultilevel"/>
    <w:tmpl w:val="5720FFD2"/>
    <w:lvl w:ilvl="0" w:tplc="9ACE6476">
      <w:start w:val="1"/>
      <w:numFmt w:val="decimal"/>
      <w:pStyle w:val="SCNumberedText"/>
      <w:lvlText w:val="%1."/>
      <w:lvlJc w:val="left"/>
      <w:pPr>
        <w:ind w:left="1495" w:hanging="360"/>
      </w:pPr>
      <w:rPr>
        <w:rFonts w:ascii="Times New Roman" w:hAnsi="Times New Roman" w:cs="Times New Roman" w:hint="default"/>
        <w:b w:val="0"/>
        <w:bCs w:val="0"/>
        <w:i w:val="0"/>
        <w:iCs w:val="0"/>
      </w:rPr>
    </w:lvl>
    <w:lvl w:ilvl="1" w:tplc="EA3C9932">
      <w:start w:val="1"/>
      <w:numFmt w:val="lowerLetter"/>
      <w:lvlText w:val="%2)"/>
      <w:lvlJc w:val="left"/>
      <w:pPr>
        <w:ind w:left="227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0D7F74"/>
    <w:multiLevelType w:val="hybridMultilevel"/>
    <w:tmpl w:val="E35862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9" w15:restartNumberingAfterBreak="0">
    <w:nsid w:val="460D23C0"/>
    <w:multiLevelType w:val="hybridMultilevel"/>
    <w:tmpl w:val="48E8743E"/>
    <w:lvl w:ilvl="0" w:tplc="5C98B324">
      <w:start w:val="1"/>
      <w:numFmt w:val="lowerRoman"/>
      <w:lvlText w:val="(%1)"/>
      <w:lvlJc w:val="left"/>
      <w:pPr>
        <w:ind w:left="2040" w:hanging="420"/>
      </w:pPr>
      <w:rPr>
        <w:rFonts w:hint="default"/>
        <w:color w:val="000000"/>
        <w:sz w:val="22"/>
      </w:rPr>
    </w:lvl>
    <w:lvl w:ilvl="1" w:tplc="FFFFFFFF" w:tentative="1">
      <w:start w:val="1"/>
      <w:numFmt w:val="aiueoFullWidth"/>
      <w:lvlText w:val="(%2)"/>
      <w:lvlJc w:val="left"/>
      <w:pPr>
        <w:ind w:left="1548" w:hanging="420"/>
      </w:pPr>
    </w:lvl>
    <w:lvl w:ilvl="2" w:tplc="FFFFFFFF" w:tentative="1">
      <w:start w:val="1"/>
      <w:numFmt w:val="decimalEnclosedCircle"/>
      <w:lvlText w:val="%3"/>
      <w:lvlJc w:val="left"/>
      <w:pPr>
        <w:ind w:left="1968" w:hanging="420"/>
      </w:pPr>
    </w:lvl>
    <w:lvl w:ilvl="3" w:tplc="FFFFFFFF" w:tentative="1">
      <w:start w:val="1"/>
      <w:numFmt w:val="decimal"/>
      <w:lvlText w:val="%4."/>
      <w:lvlJc w:val="left"/>
      <w:pPr>
        <w:ind w:left="2388" w:hanging="420"/>
      </w:pPr>
    </w:lvl>
    <w:lvl w:ilvl="4" w:tplc="FFFFFFFF" w:tentative="1">
      <w:start w:val="1"/>
      <w:numFmt w:val="aiueoFullWidth"/>
      <w:lvlText w:val="(%5)"/>
      <w:lvlJc w:val="left"/>
      <w:pPr>
        <w:ind w:left="2808" w:hanging="420"/>
      </w:pPr>
    </w:lvl>
    <w:lvl w:ilvl="5" w:tplc="FFFFFFFF" w:tentative="1">
      <w:start w:val="1"/>
      <w:numFmt w:val="decimalEnclosedCircle"/>
      <w:lvlText w:val="%6"/>
      <w:lvlJc w:val="left"/>
      <w:pPr>
        <w:ind w:left="3228" w:hanging="420"/>
      </w:pPr>
    </w:lvl>
    <w:lvl w:ilvl="6" w:tplc="FFFFFFFF" w:tentative="1">
      <w:start w:val="1"/>
      <w:numFmt w:val="decimal"/>
      <w:lvlText w:val="%7."/>
      <w:lvlJc w:val="left"/>
      <w:pPr>
        <w:ind w:left="3648" w:hanging="420"/>
      </w:pPr>
    </w:lvl>
    <w:lvl w:ilvl="7" w:tplc="FFFFFFFF" w:tentative="1">
      <w:start w:val="1"/>
      <w:numFmt w:val="aiueoFullWidth"/>
      <w:lvlText w:val="(%8)"/>
      <w:lvlJc w:val="left"/>
      <w:pPr>
        <w:ind w:left="4068" w:hanging="420"/>
      </w:pPr>
    </w:lvl>
    <w:lvl w:ilvl="8" w:tplc="FFFFFFFF" w:tentative="1">
      <w:start w:val="1"/>
      <w:numFmt w:val="decimalEnclosedCircle"/>
      <w:lvlText w:val="%9"/>
      <w:lvlJc w:val="left"/>
      <w:pPr>
        <w:ind w:left="4488" w:hanging="420"/>
      </w:pPr>
    </w:lvl>
  </w:abstractNum>
  <w:abstractNum w:abstractNumId="10" w15:restartNumberingAfterBreak="0">
    <w:nsid w:val="4C0E739F"/>
    <w:multiLevelType w:val="hybridMultilevel"/>
    <w:tmpl w:val="14CA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527FD"/>
    <w:multiLevelType w:val="hybridMultilevel"/>
    <w:tmpl w:val="BECE7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60073A4B"/>
    <w:multiLevelType w:val="multilevel"/>
    <w:tmpl w:val="A24484F0"/>
    <w:lvl w:ilvl="0">
      <w:start w:val="3"/>
      <w:numFmt w:val="decimal"/>
      <w:lvlText w:val="%1"/>
      <w:lvlJc w:val="left"/>
      <w:pPr>
        <w:ind w:left="612" w:hanging="612"/>
      </w:pPr>
      <w:rPr>
        <w:rFonts w:hint="default"/>
        <w:b/>
      </w:rPr>
    </w:lvl>
    <w:lvl w:ilvl="1">
      <w:start w:val="2"/>
      <w:numFmt w:val="decimal"/>
      <w:lvlText w:val="%1.%2"/>
      <w:lvlJc w:val="left"/>
      <w:pPr>
        <w:ind w:left="632" w:hanging="612"/>
      </w:pPr>
      <w:rPr>
        <w:rFonts w:hint="default"/>
        <w:b/>
      </w:rPr>
    </w:lvl>
    <w:lvl w:ilvl="2">
      <w:start w:val="1"/>
      <w:numFmt w:val="decimal"/>
      <w:lvlText w:val="%1.%2.%3"/>
      <w:lvlJc w:val="left"/>
      <w:pPr>
        <w:ind w:left="760" w:hanging="720"/>
      </w:pPr>
      <w:rPr>
        <w:rFonts w:hint="default"/>
        <w:b/>
      </w:rPr>
    </w:lvl>
    <w:lvl w:ilvl="3">
      <w:start w:val="1"/>
      <w:numFmt w:val="decimal"/>
      <w:lvlText w:val="%1.%2.%3.%4"/>
      <w:lvlJc w:val="left"/>
      <w:pPr>
        <w:ind w:left="780" w:hanging="720"/>
      </w:pPr>
      <w:rPr>
        <w:rFonts w:hint="default"/>
        <w:b/>
      </w:rPr>
    </w:lvl>
    <w:lvl w:ilvl="4">
      <w:start w:val="1"/>
      <w:numFmt w:val="decimal"/>
      <w:lvlText w:val="%1.%2.%3.%4.%5"/>
      <w:lvlJc w:val="left"/>
      <w:pPr>
        <w:ind w:left="1160" w:hanging="1080"/>
      </w:pPr>
      <w:rPr>
        <w:rFonts w:hint="default"/>
        <w:b/>
      </w:rPr>
    </w:lvl>
    <w:lvl w:ilvl="5">
      <w:start w:val="1"/>
      <w:numFmt w:val="decimal"/>
      <w:lvlText w:val="%1.%2.%3.%4.%5.%6"/>
      <w:lvlJc w:val="left"/>
      <w:pPr>
        <w:ind w:left="1180" w:hanging="1080"/>
      </w:pPr>
      <w:rPr>
        <w:rFonts w:hint="default"/>
        <w:b/>
      </w:rPr>
    </w:lvl>
    <w:lvl w:ilvl="6">
      <w:start w:val="1"/>
      <w:numFmt w:val="decimal"/>
      <w:lvlText w:val="%1.%2.%3.%4.%5.%6.%7"/>
      <w:lvlJc w:val="left"/>
      <w:pPr>
        <w:ind w:left="1560" w:hanging="1440"/>
      </w:pPr>
      <w:rPr>
        <w:rFonts w:hint="default"/>
        <w:b/>
      </w:rPr>
    </w:lvl>
    <w:lvl w:ilvl="7">
      <w:start w:val="1"/>
      <w:numFmt w:val="decimal"/>
      <w:lvlText w:val="%1.%2.%3.%4.%5.%6.%7.%8"/>
      <w:lvlJc w:val="left"/>
      <w:pPr>
        <w:ind w:left="1580" w:hanging="1440"/>
      </w:pPr>
      <w:rPr>
        <w:rFonts w:hint="default"/>
        <w:b/>
      </w:rPr>
    </w:lvl>
    <w:lvl w:ilvl="8">
      <w:start w:val="1"/>
      <w:numFmt w:val="decimal"/>
      <w:lvlText w:val="%1.%2.%3.%4.%5.%6.%7.%8.%9"/>
      <w:lvlJc w:val="left"/>
      <w:pPr>
        <w:ind w:left="1600" w:hanging="1440"/>
      </w:pPr>
      <w:rPr>
        <w:rFonts w:hint="default"/>
        <w:b/>
      </w:rPr>
    </w:lvl>
  </w:abstractNum>
  <w:abstractNum w:abstractNumId="14"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DD526F8"/>
    <w:multiLevelType w:val="hybridMultilevel"/>
    <w:tmpl w:val="5F40B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933720">
    <w:abstractNumId w:val="5"/>
  </w:num>
  <w:num w:numId="2" w16cid:durableId="1149638311">
    <w:abstractNumId w:val="8"/>
  </w:num>
  <w:num w:numId="3" w16cid:durableId="2028407760">
    <w:abstractNumId w:val="12"/>
  </w:num>
  <w:num w:numId="4" w16cid:durableId="185098932">
    <w:abstractNumId w:val="10"/>
  </w:num>
  <w:num w:numId="5" w16cid:durableId="706099329">
    <w:abstractNumId w:val="14"/>
  </w:num>
  <w:num w:numId="6" w16cid:durableId="658537810">
    <w:abstractNumId w:val="15"/>
  </w:num>
  <w:num w:numId="7" w16cid:durableId="328145803">
    <w:abstractNumId w:val="5"/>
    <w:lvlOverride w:ilvl="0">
      <w:startOverride w:val="1"/>
    </w:lvlOverride>
  </w:num>
  <w:num w:numId="8" w16cid:durableId="1205675489">
    <w:abstractNumId w:val="11"/>
  </w:num>
  <w:num w:numId="9" w16cid:durableId="1216047130">
    <w:abstractNumId w:val="4"/>
  </w:num>
  <w:num w:numId="10" w16cid:durableId="1826162859">
    <w:abstractNumId w:val="1"/>
  </w:num>
  <w:num w:numId="11" w16cid:durableId="1898320415">
    <w:abstractNumId w:val="7"/>
  </w:num>
  <w:num w:numId="12" w16cid:durableId="2066639041">
    <w:abstractNumId w:val="2"/>
  </w:num>
  <w:num w:numId="13" w16cid:durableId="1748916749">
    <w:abstractNumId w:val="3"/>
  </w:num>
  <w:num w:numId="14" w16cid:durableId="1559054958">
    <w:abstractNumId w:val="6"/>
  </w:num>
  <w:num w:numId="15" w16cid:durableId="791896808">
    <w:abstractNumId w:val="0"/>
  </w:num>
  <w:num w:numId="16" w16cid:durableId="770511725">
    <w:abstractNumId w:val="13"/>
  </w:num>
  <w:num w:numId="17" w16cid:durableId="200758886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41101"/>
    <w:rsid w:val="00067773"/>
    <w:rsid w:val="0008530D"/>
    <w:rsid w:val="000B2D74"/>
    <w:rsid w:val="000E24F7"/>
    <w:rsid w:val="001107B0"/>
    <w:rsid w:val="00134D7E"/>
    <w:rsid w:val="0014362A"/>
    <w:rsid w:val="0015000E"/>
    <w:rsid w:val="00167EED"/>
    <w:rsid w:val="001B44D1"/>
    <w:rsid w:val="001C52E0"/>
    <w:rsid w:val="002523D2"/>
    <w:rsid w:val="00253E39"/>
    <w:rsid w:val="002D086C"/>
    <w:rsid w:val="002E7362"/>
    <w:rsid w:val="002F0999"/>
    <w:rsid w:val="002F58E2"/>
    <w:rsid w:val="003060E3"/>
    <w:rsid w:val="003073B1"/>
    <w:rsid w:val="003508D1"/>
    <w:rsid w:val="00365A5C"/>
    <w:rsid w:val="0038238E"/>
    <w:rsid w:val="003A000E"/>
    <w:rsid w:val="003B42A2"/>
    <w:rsid w:val="003C4931"/>
    <w:rsid w:val="003E6D32"/>
    <w:rsid w:val="003F50D6"/>
    <w:rsid w:val="00400113"/>
    <w:rsid w:val="00416473"/>
    <w:rsid w:val="004B05DF"/>
    <w:rsid w:val="004C0F6A"/>
    <w:rsid w:val="004C1EE5"/>
    <w:rsid w:val="004C4F3D"/>
    <w:rsid w:val="004D1F0E"/>
    <w:rsid w:val="004E5370"/>
    <w:rsid w:val="004F5329"/>
    <w:rsid w:val="004F5506"/>
    <w:rsid w:val="00533E8C"/>
    <w:rsid w:val="005374AB"/>
    <w:rsid w:val="00550074"/>
    <w:rsid w:val="00583607"/>
    <w:rsid w:val="00586E8A"/>
    <w:rsid w:val="005A5AA1"/>
    <w:rsid w:val="005A7989"/>
    <w:rsid w:val="005B1A1E"/>
    <w:rsid w:val="005C2B8D"/>
    <w:rsid w:val="005C7178"/>
    <w:rsid w:val="00601C1F"/>
    <w:rsid w:val="00643A67"/>
    <w:rsid w:val="006515DB"/>
    <w:rsid w:val="006A51C4"/>
    <w:rsid w:val="006A5449"/>
    <w:rsid w:val="006D1BC2"/>
    <w:rsid w:val="00705D60"/>
    <w:rsid w:val="00713FF9"/>
    <w:rsid w:val="0073054D"/>
    <w:rsid w:val="007618DB"/>
    <w:rsid w:val="007766EA"/>
    <w:rsid w:val="00786006"/>
    <w:rsid w:val="007A432D"/>
    <w:rsid w:val="007B6CCE"/>
    <w:rsid w:val="007F00AD"/>
    <w:rsid w:val="007F00F1"/>
    <w:rsid w:val="007F084A"/>
    <w:rsid w:val="007F3A49"/>
    <w:rsid w:val="00845FD5"/>
    <w:rsid w:val="0086258F"/>
    <w:rsid w:val="00867480"/>
    <w:rsid w:val="00870DB7"/>
    <w:rsid w:val="008A2E30"/>
    <w:rsid w:val="008B79B0"/>
    <w:rsid w:val="008F2CDB"/>
    <w:rsid w:val="009313C0"/>
    <w:rsid w:val="0093435F"/>
    <w:rsid w:val="00957991"/>
    <w:rsid w:val="009C1672"/>
    <w:rsid w:val="009F53E7"/>
    <w:rsid w:val="009F7F3E"/>
    <w:rsid w:val="00A14265"/>
    <w:rsid w:val="00A45AEE"/>
    <w:rsid w:val="00B74433"/>
    <w:rsid w:val="00BD56FE"/>
    <w:rsid w:val="00BF2822"/>
    <w:rsid w:val="00BF5825"/>
    <w:rsid w:val="00C01084"/>
    <w:rsid w:val="00C44B60"/>
    <w:rsid w:val="00C64AF4"/>
    <w:rsid w:val="00C975B7"/>
    <w:rsid w:val="00CA10E5"/>
    <w:rsid w:val="00CC3DC6"/>
    <w:rsid w:val="00CC59BE"/>
    <w:rsid w:val="00CF0B93"/>
    <w:rsid w:val="00D019A4"/>
    <w:rsid w:val="00D4373F"/>
    <w:rsid w:val="00D97911"/>
    <w:rsid w:val="00D97CEC"/>
    <w:rsid w:val="00DC50D2"/>
    <w:rsid w:val="00E0325C"/>
    <w:rsid w:val="00E15B3B"/>
    <w:rsid w:val="00E2150E"/>
    <w:rsid w:val="00E275CA"/>
    <w:rsid w:val="00F528D9"/>
    <w:rsid w:val="00F535CC"/>
    <w:rsid w:val="00FB657D"/>
    <w:rsid w:val="00FC2C77"/>
    <w:rsid w:val="00FE2EF7"/>
    <w:rsid w:val="00FF6AB6"/>
    <w:rsid w:val="00FF7C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7C03B"/>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A14265"/>
    <w:pPr>
      <w:tabs>
        <w:tab w:val="right" w:leader="dot" w:pos="9350"/>
      </w:tabs>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paragraph" w:styleId="BalloonText">
    <w:name w:val="Balloon Text"/>
    <w:basedOn w:val="Normal"/>
    <w:link w:val="BalloonTextChar"/>
    <w:uiPriority w:val="99"/>
    <w:semiHidden/>
    <w:unhideWhenUsed/>
    <w:rsid w:val="0004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101"/>
    <w:rPr>
      <w:rFonts w:ascii="Segoe UI" w:hAnsi="Segoe UI" w:cs="Segoe UI"/>
      <w:sz w:val="18"/>
      <w:szCs w:val="18"/>
    </w:rPr>
  </w:style>
  <w:style w:type="paragraph" w:customStyle="1" w:styleId="SCa">
    <w:name w:val="SC a"/>
    <w:basedOn w:val="ListParagraph"/>
    <w:link w:val="SCaChar"/>
    <w:qFormat/>
    <w:rsid w:val="00253E39"/>
    <w:pPr>
      <w:numPr>
        <w:numId w:val="5"/>
      </w:numPr>
      <w:tabs>
        <w:tab w:val="left" w:pos="720"/>
        <w:tab w:val="left" w:pos="1080"/>
      </w:tabs>
      <w:adjustRightInd w:val="0"/>
      <w:snapToGrid w:val="0"/>
      <w:spacing w:after="240"/>
      <w:contextualSpacing w:val="0"/>
    </w:pPr>
    <w:rPr>
      <w:rFonts w:ascii="Times New Roman" w:eastAsia="Batang" w:hAnsi="Times New Roman"/>
      <w:b/>
      <w:lang w:eastAsia="ko-KR" w:bidi="th-TH"/>
    </w:rPr>
  </w:style>
  <w:style w:type="character" w:customStyle="1" w:styleId="SCaChar">
    <w:name w:val="SC a Char"/>
    <w:basedOn w:val="ListParagraphChar"/>
    <w:link w:val="SCa"/>
    <w:rsid w:val="00253E39"/>
    <w:rPr>
      <w:rFonts w:ascii="Times New Roman" w:eastAsia="Batang" w:hAnsi="Times New Roman" w:cs="Times New Roman"/>
      <w:b/>
      <w:lang w:val="en-NZ" w:eastAsia="ko-KR" w:bidi="th-TH"/>
    </w:rPr>
  </w:style>
  <w:style w:type="paragraph" w:customStyle="1" w:styleId="SCtext">
    <w:name w:val="SC text"/>
    <w:basedOn w:val="WCPFC"/>
    <w:rsid w:val="009F53E7"/>
    <w:pPr>
      <w:spacing w:after="0"/>
      <w:ind w:left="1080" w:hanging="360"/>
    </w:pPr>
    <w:rPr>
      <w:rFonts w:eastAsia="Times New Roman" w:cs="Times New Roman"/>
      <w:color w:val="000000"/>
      <w:sz w:val="24"/>
      <w:szCs w:val="20"/>
    </w:rPr>
  </w:style>
  <w:style w:type="paragraph" w:customStyle="1" w:styleId="SC2">
    <w:name w:val="SC 2"/>
    <w:basedOn w:val="Normal"/>
    <w:qFormat/>
    <w:rsid w:val="001C52E0"/>
    <w:pPr>
      <w:keepNext/>
      <w:numPr>
        <w:ilvl w:val="1"/>
        <w:numId w:val="13"/>
      </w:numPr>
      <w:suppressLineNumbers/>
      <w:adjustRightInd w:val="0"/>
      <w:snapToGrid w:val="0"/>
      <w:spacing w:after="220" w:line="240" w:lineRule="auto"/>
      <w:jc w:val="both"/>
    </w:pPr>
    <w:rPr>
      <w:rFonts w:ascii="Times New Roman" w:eastAsia="Times New Roman" w:hAnsi="Times New Roman" w:cs="Times New Roman"/>
      <w:b/>
      <w:lang w:val="en-NZ"/>
    </w:rPr>
  </w:style>
  <w:style w:type="paragraph" w:customStyle="1" w:styleId="SC3">
    <w:name w:val="SC 3"/>
    <w:basedOn w:val="SC2"/>
    <w:link w:val="SC3Char"/>
    <w:qFormat/>
    <w:rsid w:val="001C52E0"/>
    <w:pPr>
      <w:numPr>
        <w:ilvl w:val="2"/>
      </w:numPr>
    </w:pPr>
  </w:style>
  <w:style w:type="character" w:customStyle="1" w:styleId="SC3Char">
    <w:name w:val="SC 3 Char"/>
    <w:basedOn w:val="DefaultParagraphFont"/>
    <w:link w:val="SC3"/>
    <w:rsid w:val="001C52E0"/>
    <w:rPr>
      <w:rFonts w:ascii="Times New Roman" w:eastAsia="Times New Roman" w:hAnsi="Times New Roman" w:cs="Times New Roman"/>
      <w:b/>
      <w:lang w:val="en-NZ"/>
    </w:rPr>
  </w:style>
  <w:style w:type="paragraph" w:customStyle="1" w:styleId="SCNumberedText">
    <w:name w:val="SC Numbered Text"/>
    <w:basedOn w:val="ListParagraph"/>
    <w:qFormat/>
    <w:rsid w:val="001C52E0"/>
    <w:pPr>
      <w:numPr>
        <w:numId w:val="14"/>
      </w:numPr>
      <w:tabs>
        <w:tab w:val="left" w:pos="0"/>
      </w:tabs>
      <w:kinsoku w:val="0"/>
      <w:overflowPunct w:val="0"/>
      <w:autoSpaceDE w:val="0"/>
      <w:autoSpaceDN w:val="0"/>
      <w:adjustRightInd w:val="0"/>
      <w:snapToGrid w:val="0"/>
      <w:ind w:left="0" w:firstLine="0"/>
      <w:contextualSpacing w:val="0"/>
    </w:pPr>
    <w:rPr>
      <w:rFonts w:ascii="Times New Roman" w:hAnsi="Times New Roman"/>
      <w:bCs/>
      <w:u w:color="000000"/>
      <w:lang w:val="en-AU" w:eastAsia="ko-KR"/>
    </w:rPr>
  </w:style>
  <w:style w:type="table" w:customStyle="1" w:styleId="TableGrid9">
    <w:name w:val="Table Grid9"/>
    <w:basedOn w:val="TableNormal"/>
    <w:next w:val="TableGrid"/>
    <w:uiPriority w:val="39"/>
    <w:rsid w:val="001C52E0"/>
    <w:pPr>
      <w:spacing w:after="0" w:line="240" w:lineRule="auto"/>
    </w:pPr>
    <w:rPr>
      <w:rFonts w:ascii="Cambria" w:eastAsia="Yu Mincho" w:hAnsi="Cambria" w:cs="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cpfc.int/node/29904" TargetMode="External"/><Relationship Id="rId26" Type="http://schemas.openxmlformats.org/officeDocument/2006/relationships/hyperlink" Target="https://www.wcpfc.int/node/27493" TargetMode="External"/><Relationship Id="rId3" Type="http://schemas.openxmlformats.org/officeDocument/2006/relationships/styles" Target="styles.xml"/><Relationship Id="rId21" Type="http://schemas.openxmlformats.org/officeDocument/2006/relationships/hyperlink" Target="https://meetings.wcpfc.int/node/1256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wcpfc.int/node/2753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meetings.wcpfc.int/node/125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cpfc.int/node/29537"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wcpfc.int/node/43055"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meetings.wcpfc.int/node/162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meetings.wcpfc.int/node/1256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97E7-7924-4305-BEAA-8F35AD48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4</cp:revision>
  <dcterms:created xsi:type="dcterms:W3CDTF">2023-02-28T21:32:00Z</dcterms:created>
  <dcterms:modified xsi:type="dcterms:W3CDTF">2023-02-28T21:35:00Z</dcterms:modified>
</cp:coreProperties>
</file>