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E72" w:rsidRPr="00600199" w:rsidRDefault="00C21E72" w:rsidP="00451AFA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23</w:t>
      </w:r>
      <w:r w:rsidRPr="00600199">
        <w:rPr>
          <w:sz w:val="23"/>
          <w:szCs w:val="23"/>
        </w:rPr>
        <w:t xml:space="preserve"> August 2011 </w:t>
      </w:r>
    </w:p>
    <w:p w:rsidR="00C21E72" w:rsidRPr="00600199" w:rsidRDefault="00C21E72" w:rsidP="00C21E72">
      <w:pPr>
        <w:pStyle w:val="Default"/>
        <w:jc w:val="right"/>
        <w:rPr>
          <w:sz w:val="23"/>
          <w:szCs w:val="23"/>
        </w:rPr>
      </w:pPr>
    </w:p>
    <w:p w:rsidR="001D30EA" w:rsidRPr="00600199" w:rsidRDefault="001D30EA" w:rsidP="001D30EA">
      <w:pPr>
        <w:pStyle w:val="Default"/>
        <w:rPr>
          <w:color w:val="auto"/>
          <w:sz w:val="23"/>
          <w:szCs w:val="23"/>
        </w:rPr>
      </w:pPr>
      <w:r w:rsidRPr="00600199">
        <w:rPr>
          <w:bCs/>
          <w:iCs/>
          <w:color w:val="auto"/>
        </w:rPr>
        <w:t>Professor Glenn Hurry</w:t>
      </w:r>
      <w:r w:rsidRPr="00600199">
        <w:rPr>
          <w:color w:val="auto"/>
          <w:sz w:val="23"/>
          <w:szCs w:val="23"/>
        </w:rPr>
        <w:t xml:space="preserve"> </w:t>
      </w:r>
    </w:p>
    <w:p w:rsidR="001D30EA" w:rsidRDefault="001D30EA" w:rsidP="001D30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Executive Director </w:t>
      </w:r>
    </w:p>
    <w:p w:rsidR="001D30EA" w:rsidRDefault="001D30EA" w:rsidP="001D30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Western and Central Pacific Fisheries Commission </w:t>
      </w:r>
    </w:p>
    <w:p w:rsidR="001D30EA" w:rsidRDefault="001D30EA" w:rsidP="001D30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</w:t>
      </w:r>
      <w:r w:rsidR="00285A88">
        <w:rPr>
          <w:sz w:val="23"/>
          <w:szCs w:val="23"/>
        </w:rPr>
        <w:t>O</w:t>
      </w:r>
      <w:r>
        <w:rPr>
          <w:sz w:val="23"/>
          <w:szCs w:val="23"/>
        </w:rPr>
        <w:t xml:space="preserve"> Box 2356</w:t>
      </w:r>
    </w:p>
    <w:p w:rsidR="001D30EA" w:rsidRDefault="001D30EA" w:rsidP="001D30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Kolonia, Pohnpei</w:t>
      </w:r>
    </w:p>
    <w:p w:rsidR="001D30EA" w:rsidRDefault="001D30EA" w:rsidP="001D30EA">
      <w:pPr>
        <w:pStyle w:val="Default"/>
        <w:rPr>
          <w:sz w:val="23"/>
          <w:szCs w:val="23"/>
        </w:rPr>
      </w:pPr>
      <w:smartTag w:uri="urn:schemas-microsoft-com:office:smarttags" w:element="country-region">
        <w:smartTag w:uri="urn:schemas-microsoft-com:office:smarttags" w:element="place">
          <w:r>
            <w:rPr>
              <w:sz w:val="23"/>
              <w:szCs w:val="23"/>
            </w:rPr>
            <w:t>Federated States of Micronesia</w:t>
          </w:r>
        </w:smartTag>
      </w:smartTag>
    </w:p>
    <w:p w:rsidR="001D30EA" w:rsidRDefault="001D30EA" w:rsidP="001D30EA">
      <w:pPr>
        <w:pStyle w:val="Default"/>
        <w:rPr>
          <w:sz w:val="23"/>
          <w:szCs w:val="23"/>
        </w:rPr>
      </w:pPr>
    </w:p>
    <w:p w:rsidR="001D30EA" w:rsidRDefault="001D30EA" w:rsidP="001D30EA">
      <w:pPr>
        <w:pStyle w:val="Default"/>
        <w:rPr>
          <w:sz w:val="23"/>
          <w:szCs w:val="23"/>
        </w:rPr>
      </w:pPr>
    </w:p>
    <w:p w:rsidR="001D30EA" w:rsidRDefault="001D30EA" w:rsidP="001D30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Dear Professor Hurry</w:t>
      </w:r>
    </w:p>
    <w:p w:rsidR="001D30EA" w:rsidRDefault="001D30EA" w:rsidP="001D30EA">
      <w:pPr>
        <w:pStyle w:val="Default"/>
        <w:rPr>
          <w:sz w:val="23"/>
          <w:szCs w:val="23"/>
        </w:rPr>
      </w:pPr>
    </w:p>
    <w:p w:rsidR="001D30EA" w:rsidRPr="004602C0" w:rsidRDefault="001D30EA" w:rsidP="001D30EA">
      <w:pPr>
        <w:pStyle w:val="Default"/>
        <w:rPr>
          <w:b/>
          <w:bCs/>
          <w:sz w:val="23"/>
          <w:szCs w:val="23"/>
        </w:rPr>
      </w:pPr>
      <w:r w:rsidRPr="004602C0">
        <w:rPr>
          <w:b/>
          <w:bCs/>
          <w:sz w:val="23"/>
          <w:szCs w:val="23"/>
        </w:rPr>
        <w:t>CCM 2006-08</w:t>
      </w:r>
      <w:r>
        <w:rPr>
          <w:b/>
          <w:bCs/>
          <w:sz w:val="23"/>
          <w:szCs w:val="23"/>
        </w:rPr>
        <w:t>:</w:t>
      </w:r>
      <w:r w:rsidRPr="004602C0">
        <w:rPr>
          <w:b/>
          <w:bCs/>
          <w:sz w:val="23"/>
          <w:szCs w:val="23"/>
        </w:rPr>
        <w:t xml:space="preserve"> High Seas Boarding and Inspection Procedures</w:t>
      </w:r>
      <w:r>
        <w:rPr>
          <w:b/>
          <w:bCs/>
          <w:sz w:val="23"/>
          <w:szCs w:val="23"/>
        </w:rPr>
        <w:t xml:space="preserve"> -</w:t>
      </w:r>
      <w:r w:rsidRPr="004602C0">
        <w:rPr>
          <w:b/>
          <w:bCs/>
          <w:sz w:val="23"/>
          <w:szCs w:val="23"/>
        </w:rPr>
        <w:t xml:space="preserve"> Letter of Authorisation </w:t>
      </w:r>
    </w:p>
    <w:p w:rsidR="001D30EA" w:rsidRDefault="001D30EA" w:rsidP="001D30EA">
      <w:pPr>
        <w:pStyle w:val="Default"/>
        <w:rPr>
          <w:sz w:val="23"/>
          <w:szCs w:val="23"/>
        </w:rPr>
      </w:pPr>
    </w:p>
    <w:p w:rsidR="001D30EA" w:rsidRDefault="001D30EA" w:rsidP="001D30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 accordance with the Western Central Pacific Fisheries Commission (WCPFC) Conservation and Management Measure (CMM) 2006-08: High Seas Boarding and Inspection (HSB&amp;I) Procedures, Australia </w:t>
      </w:r>
      <w:r w:rsidR="003278CC">
        <w:rPr>
          <w:sz w:val="23"/>
          <w:szCs w:val="23"/>
        </w:rPr>
        <w:t>submits</w:t>
      </w:r>
      <w:r>
        <w:rPr>
          <w:sz w:val="23"/>
          <w:szCs w:val="23"/>
        </w:rPr>
        <w:t xml:space="preserve"> the following Australian Customs and Border Protection Service Patrol Vessels as authorised inspection vessels, for inclusion on the WCPFC HSB&amp;I Register</w:t>
      </w:r>
      <w:r>
        <w:rPr>
          <w:bCs/>
          <w:sz w:val="22"/>
          <w:szCs w:val="22"/>
        </w:rPr>
        <w:t xml:space="preserve">: </w:t>
      </w:r>
      <w:r w:rsidRPr="008C35C3">
        <w:rPr>
          <w:bCs/>
          <w:i/>
          <w:sz w:val="22"/>
          <w:szCs w:val="22"/>
        </w:rPr>
        <w:t>ACV Arnhem Bay</w:t>
      </w:r>
      <w:r>
        <w:rPr>
          <w:bCs/>
          <w:i/>
          <w:sz w:val="22"/>
          <w:szCs w:val="22"/>
        </w:rPr>
        <w:t xml:space="preserve">, </w:t>
      </w:r>
      <w:r w:rsidRPr="004C62C0">
        <w:rPr>
          <w:bCs/>
          <w:i/>
          <w:sz w:val="22"/>
          <w:szCs w:val="22"/>
        </w:rPr>
        <w:t>ACV Botany Bay, ACV Corio Bay, ACV Dame Roma Mitchell, ACV Hervey Bay,</w:t>
      </w:r>
      <w:r>
        <w:rPr>
          <w:bCs/>
          <w:sz w:val="22"/>
          <w:szCs w:val="22"/>
        </w:rPr>
        <w:t xml:space="preserve"> </w:t>
      </w:r>
      <w:r w:rsidRPr="004C62C0">
        <w:rPr>
          <w:bCs/>
          <w:i/>
          <w:sz w:val="22"/>
          <w:szCs w:val="22"/>
        </w:rPr>
        <w:t>ACV Holdfast Bay, ACV Roebuck Bay, ACV Storm Bay, ACV Ocean Protector</w:t>
      </w:r>
      <w:r>
        <w:rPr>
          <w:bCs/>
          <w:i/>
          <w:sz w:val="22"/>
          <w:szCs w:val="22"/>
        </w:rPr>
        <w:t xml:space="preserve"> and</w:t>
      </w:r>
      <w:r w:rsidRPr="004C62C0">
        <w:rPr>
          <w:bCs/>
          <w:i/>
          <w:sz w:val="22"/>
          <w:szCs w:val="22"/>
        </w:rPr>
        <w:t xml:space="preserve"> ACV Triton</w:t>
      </w:r>
      <w:r>
        <w:rPr>
          <w:sz w:val="23"/>
          <w:szCs w:val="23"/>
        </w:rPr>
        <w:t xml:space="preserve">. </w:t>
      </w:r>
    </w:p>
    <w:p w:rsidR="001D30EA" w:rsidRPr="004C62C0" w:rsidRDefault="001D30EA" w:rsidP="001D30EA">
      <w:pPr>
        <w:pStyle w:val="Default"/>
        <w:rPr>
          <w:bCs/>
          <w:i/>
          <w:sz w:val="22"/>
          <w:szCs w:val="22"/>
        </w:rPr>
      </w:pPr>
    </w:p>
    <w:p w:rsidR="001D30EA" w:rsidRDefault="001D30EA" w:rsidP="001D30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Pursuant to paragraph 13 of CMM 2006-08, please be advised that: </w:t>
      </w:r>
    </w:p>
    <w:p w:rsidR="001D30EA" w:rsidRDefault="001D30EA" w:rsidP="001D30EA">
      <w:pPr>
        <w:pStyle w:val="Default"/>
        <w:rPr>
          <w:sz w:val="23"/>
          <w:szCs w:val="23"/>
        </w:rPr>
      </w:pPr>
    </w:p>
    <w:p w:rsidR="001D30EA" w:rsidRPr="00162096" w:rsidRDefault="001D30EA" w:rsidP="001D30EA">
      <w:pPr>
        <w:pStyle w:val="Default"/>
        <w:numPr>
          <w:ilvl w:val="0"/>
          <w:numId w:val="20"/>
        </w:numPr>
        <w:rPr>
          <w:sz w:val="23"/>
          <w:szCs w:val="23"/>
        </w:rPr>
      </w:pPr>
      <w:r>
        <w:rPr>
          <w:sz w:val="23"/>
          <w:szCs w:val="23"/>
        </w:rPr>
        <w:t>the specific details of the inspection vessels are provided in</w:t>
      </w:r>
      <w:r w:rsidR="00D36CD2">
        <w:rPr>
          <w:sz w:val="23"/>
          <w:szCs w:val="23"/>
        </w:rPr>
        <w:t xml:space="preserve"> the</w:t>
      </w:r>
      <w:r>
        <w:rPr>
          <w:sz w:val="23"/>
          <w:szCs w:val="23"/>
        </w:rPr>
        <w:t xml:space="preserve"> </w:t>
      </w:r>
      <w:r w:rsidR="00D36CD2">
        <w:rPr>
          <w:sz w:val="23"/>
          <w:szCs w:val="23"/>
        </w:rPr>
        <w:t>a</w:t>
      </w:r>
      <w:r>
        <w:rPr>
          <w:sz w:val="23"/>
          <w:szCs w:val="23"/>
        </w:rPr>
        <w:t xml:space="preserve">ttachment </w:t>
      </w:r>
    </w:p>
    <w:p w:rsidR="001D30EA" w:rsidRDefault="001D30EA" w:rsidP="001D30EA">
      <w:pPr>
        <w:pStyle w:val="Default"/>
        <w:ind w:left="1800"/>
        <w:rPr>
          <w:sz w:val="23"/>
          <w:szCs w:val="23"/>
        </w:rPr>
      </w:pPr>
    </w:p>
    <w:p w:rsidR="001D30EA" w:rsidRDefault="001D30EA" w:rsidP="001D30EA">
      <w:pPr>
        <w:pStyle w:val="Default"/>
        <w:numPr>
          <w:ilvl w:val="0"/>
          <w:numId w:val="20"/>
        </w:numPr>
        <w:rPr>
          <w:sz w:val="23"/>
          <w:szCs w:val="23"/>
        </w:rPr>
      </w:pPr>
      <w:r>
        <w:rPr>
          <w:sz w:val="23"/>
          <w:szCs w:val="23"/>
        </w:rPr>
        <w:t>the inspection vessels are clearly marked and identifiable as being on Australian Government service (refer to provided photographs), and</w:t>
      </w:r>
    </w:p>
    <w:p w:rsidR="001D30EA" w:rsidRDefault="001D30EA" w:rsidP="001D30EA">
      <w:pPr>
        <w:pStyle w:val="Default"/>
        <w:ind w:left="720"/>
        <w:rPr>
          <w:sz w:val="23"/>
          <w:szCs w:val="23"/>
        </w:rPr>
      </w:pPr>
    </w:p>
    <w:p w:rsidR="001D30EA" w:rsidRDefault="001D30EA" w:rsidP="001D30EA">
      <w:pPr>
        <w:pStyle w:val="Default"/>
        <w:numPr>
          <w:ilvl w:val="0"/>
          <w:numId w:val="20"/>
        </w:numPr>
        <w:rPr>
          <w:sz w:val="23"/>
          <w:szCs w:val="23"/>
        </w:rPr>
      </w:pPr>
      <w:r w:rsidRPr="004602C0">
        <w:rPr>
          <w:sz w:val="23"/>
          <w:szCs w:val="23"/>
        </w:rPr>
        <w:t>the crew</w:t>
      </w:r>
      <w:r w:rsidR="007F0165">
        <w:rPr>
          <w:sz w:val="23"/>
          <w:szCs w:val="23"/>
        </w:rPr>
        <w:t>s</w:t>
      </w:r>
      <w:r w:rsidRPr="004602C0">
        <w:rPr>
          <w:sz w:val="23"/>
          <w:szCs w:val="23"/>
        </w:rPr>
        <w:t xml:space="preserve"> of the inspection vessels undertaking the high seas boarding and inspection activity in the Convention Area ha</w:t>
      </w:r>
      <w:r w:rsidR="007F0165">
        <w:rPr>
          <w:sz w:val="23"/>
          <w:szCs w:val="23"/>
        </w:rPr>
        <w:t>ve</w:t>
      </w:r>
      <w:r w:rsidRPr="004602C0">
        <w:rPr>
          <w:sz w:val="23"/>
          <w:szCs w:val="23"/>
        </w:rPr>
        <w:t xml:space="preserve"> received and completed training in carrying out boarding and inspection activities at sea in accordance with the requirements of CMM 2006-08</w:t>
      </w:r>
      <w:r>
        <w:rPr>
          <w:sz w:val="23"/>
          <w:szCs w:val="23"/>
        </w:rPr>
        <w:t>.</w:t>
      </w:r>
    </w:p>
    <w:p w:rsidR="001D30EA" w:rsidRDefault="001D30EA" w:rsidP="001D30EA">
      <w:pPr>
        <w:pStyle w:val="ListParagraph"/>
        <w:rPr>
          <w:sz w:val="23"/>
          <w:szCs w:val="23"/>
        </w:rPr>
      </w:pPr>
    </w:p>
    <w:p w:rsidR="001D30EA" w:rsidRDefault="001D30EA" w:rsidP="001D30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The Australian Fisheries Management Authority (AFMA) has developed a specific training curriculum on HSB&amp;I procedures for the crew</w:t>
      </w:r>
      <w:r w:rsidR="007F0165">
        <w:rPr>
          <w:sz w:val="23"/>
          <w:szCs w:val="23"/>
        </w:rPr>
        <w:t>s</w:t>
      </w:r>
      <w:r>
        <w:rPr>
          <w:sz w:val="23"/>
          <w:szCs w:val="23"/>
        </w:rPr>
        <w:t xml:space="preserve"> of inspection vessels </w:t>
      </w:r>
      <w:r w:rsidR="007F0165">
        <w:rPr>
          <w:sz w:val="23"/>
          <w:szCs w:val="23"/>
        </w:rPr>
        <w:t>that</w:t>
      </w:r>
      <w:r>
        <w:rPr>
          <w:sz w:val="23"/>
          <w:szCs w:val="23"/>
        </w:rPr>
        <w:t xml:space="preserve"> will conduct high seas boarding in the Convention Area. In addition, AFMA’s authorised fisheries officers (who have been assigned as inspectors pursuant to CMM 2006-08) have received similar training in boarding and inspection procedures. </w:t>
      </w:r>
    </w:p>
    <w:p w:rsidR="001D30EA" w:rsidRDefault="001D30EA" w:rsidP="001D30EA">
      <w:pPr>
        <w:pStyle w:val="Default"/>
        <w:rPr>
          <w:sz w:val="23"/>
          <w:szCs w:val="23"/>
        </w:rPr>
      </w:pPr>
    </w:p>
    <w:p w:rsidR="001D30EA" w:rsidRDefault="001D30EA" w:rsidP="001D30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Pursuant to paragraph 18 of CMM 2006-08, the inspection vessels shall fly, in a clearly visible fashion, the WCPFC inspection flag as designed by the Commission.</w:t>
      </w:r>
    </w:p>
    <w:p w:rsidR="001D30EA" w:rsidRDefault="001D30EA" w:rsidP="001D30EA">
      <w:pPr>
        <w:pStyle w:val="Default"/>
        <w:rPr>
          <w:sz w:val="23"/>
          <w:szCs w:val="23"/>
        </w:rPr>
      </w:pPr>
    </w:p>
    <w:p w:rsidR="00B10F5F" w:rsidRDefault="00571849" w:rsidP="001D30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AFMA is the Australian authority to contact </w:t>
      </w:r>
      <w:r w:rsidR="00F170A6">
        <w:rPr>
          <w:sz w:val="23"/>
          <w:szCs w:val="23"/>
        </w:rPr>
        <w:t>regarding</w:t>
      </w:r>
      <w:r w:rsidRPr="00571849">
        <w:rPr>
          <w:sz w:val="23"/>
          <w:szCs w:val="23"/>
        </w:rPr>
        <w:t xml:space="preserve"> </w:t>
      </w:r>
      <w:r>
        <w:rPr>
          <w:sz w:val="23"/>
          <w:szCs w:val="23"/>
        </w:rPr>
        <w:t>the high seas boarding of Australian flagged fishing vessels or inspections by Australian flagged inspection vessels</w:t>
      </w:r>
      <w:r>
        <w:rPr>
          <w:sz w:val="23"/>
          <w:szCs w:val="23"/>
        </w:rPr>
        <w:t xml:space="preserve">. Authorities, or authorised inspectors, of Commission members may contact AFMA as follows: </w:t>
      </w:r>
      <w:r w:rsidR="00F170A6">
        <w:rPr>
          <w:sz w:val="23"/>
          <w:szCs w:val="23"/>
        </w:rPr>
        <w:t xml:space="preserve"> </w:t>
      </w:r>
    </w:p>
    <w:p w:rsidR="00B10F5F" w:rsidRDefault="00B10F5F" w:rsidP="001D30EA">
      <w:pPr>
        <w:pStyle w:val="Default"/>
        <w:rPr>
          <w:sz w:val="23"/>
          <w:szCs w:val="23"/>
        </w:rPr>
      </w:pPr>
    </w:p>
    <w:p w:rsidR="001D30EA" w:rsidRDefault="001D30EA" w:rsidP="001D30EA">
      <w:pPr>
        <w:pStyle w:val="Default"/>
        <w:rPr>
          <w:sz w:val="23"/>
          <w:szCs w:val="23"/>
        </w:rPr>
      </w:pPr>
    </w:p>
    <w:p w:rsidR="001D30EA" w:rsidRDefault="001D30EA" w:rsidP="001D30EA">
      <w:pPr>
        <w:pStyle w:val="Default"/>
        <w:rPr>
          <w:sz w:val="23"/>
          <w:szCs w:val="23"/>
        </w:rPr>
      </w:pPr>
      <w:r>
        <w:rPr>
          <w:sz w:val="23"/>
          <w:szCs w:val="23"/>
        </w:rPr>
        <w:br w:type="page"/>
        <w:t>Name: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Duty Officer</w:t>
      </w:r>
    </w:p>
    <w:p w:rsidR="001D30EA" w:rsidRDefault="001D30EA" w:rsidP="001D30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Authorised Authority:</w:t>
      </w:r>
      <w:r>
        <w:rPr>
          <w:sz w:val="23"/>
          <w:szCs w:val="23"/>
        </w:rPr>
        <w:tab/>
        <w:t>Australian Fisheries Management Authority</w:t>
      </w:r>
    </w:p>
    <w:p w:rsidR="001D30EA" w:rsidRDefault="001D30EA" w:rsidP="001D30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Telephone: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t>+61 419 205 329</w:t>
      </w:r>
    </w:p>
    <w:p w:rsidR="001D30EA" w:rsidRDefault="001D30EA" w:rsidP="001D30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Fax: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t>+61 2 6275 6275</w:t>
      </w:r>
    </w:p>
    <w:p w:rsidR="001D30EA" w:rsidRDefault="001D30EA" w:rsidP="001D30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Email: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hyperlink r:id="rId7" w:history="1">
        <w:r w:rsidRPr="00146971">
          <w:rPr>
            <w:rStyle w:val="Hyperlink"/>
          </w:rPr>
          <w:t>foreignsurveillanceresponse@afma.gov.au</w:t>
        </w:r>
      </w:hyperlink>
      <w:r>
        <w:rPr>
          <w:sz w:val="23"/>
          <w:szCs w:val="23"/>
        </w:rPr>
        <w:t xml:space="preserve">      </w:t>
      </w:r>
    </w:p>
    <w:p w:rsidR="001D30EA" w:rsidRDefault="001D30EA" w:rsidP="001D30EA">
      <w:pPr>
        <w:pStyle w:val="Default"/>
        <w:rPr>
          <w:sz w:val="23"/>
          <w:szCs w:val="23"/>
        </w:rPr>
      </w:pPr>
    </w:p>
    <w:p w:rsidR="001D30EA" w:rsidRDefault="003278CC" w:rsidP="001D30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Authorities or authorised inspectors</w:t>
      </w:r>
      <w:r w:rsidR="001D30EA">
        <w:rPr>
          <w:sz w:val="23"/>
          <w:szCs w:val="23"/>
        </w:rPr>
        <w:t xml:space="preserve"> using this point of contact should provide the name and call</w:t>
      </w:r>
      <w:r w:rsidR="0018666F">
        <w:rPr>
          <w:sz w:val="23"/>
          <w:szCs w:val="23"/>
        </w:rPr>
        <w:t>-</w:t>
      </w:r>
      <w:r w:rsidR="001D30EA">
        <w:rPr>
          <w:sz w:val="23"/>
          <w:szCs w:val="23"/>
        </w:rPr>
        <w:t>sign of the vessel being inspected, the inspecting authority, nature of the incident (if applicable), a contact person and a means of making contact with that person (such as a phone number or e-mail address) so that the duty officer can r</w:t>
      </w:r>
      <w:r>
        <w:rPr>
          <w:sz w:val="23"/>
          <w:szCs w:val="23"/>
        </w:rPr>
        <w:t>espond to the notification</w:t>
      </w:r>
      <w:r w:rsidR="001D30EA">
        <w:rPr>
          <w:sz w:val="23"/>
          <w:szCs w:val="23"/>
        </w:rPr>
        <w:t xml:space="preserve"> as soon as possible.</w:t>
      </w:r>
    </w:p>
    <w:p w:rsidR="001D30EA" w:rsidRDefault="001D30EA" w:rsidP="001D30EA">
      <w:pPr>
        <w:pStyle w:val="Default"/>
        <w:rPr>
          <w:sz w:val="23"/>
          <w:szCs w:val="23"/>
        </w:rPr>
      </w:pPr>
    </w:p>
    <w:p w:rsidR="001D30EA" w:rsidRDefault="001D30EA" w:rsidP="001D30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Australia understands, as clarified in WCPFC Circular 2008/09, that it is bound not to conduct high seas boarding and inspections pursuant to CMM 2006-08 until after the expiry of the 60 day period following the circulation to members by the Commission of the register of Australian inspection vessels. </w:t>
      </w:r>
    </w:p>
    <w:p w:rsidR="001D30EA" w:rsidRDefault="001D30EA" w:rsidP="001D30EA">
      <w:pPr>
        <w:pStyle w:val="Default"/>
        <w:rPr>
          <w:sz w:val="23"/>
          <w:szCs w:val="23"/>
        </w:rPr>
      </w:pPr>
    </w:p>
    <w:p w:rsidR="001D30EA" w:rsidRDefault="001D30EA" w:rsidP="001D30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Please don’t hesitate to contact me if you have any questions regarding this submission.</w:t>
      </w:r>
    </w:p>
    <w:p w:rsidR="001D30EA" w:rsidRDefault="001D30EA" w:rsidP="001D30EA">
      <w:pPr>
        <w:pStyle w:val="Default"/>
        <w:rPr>
          <w:sz w:val="23"/>
          <w:szCs w:val="23"/>
        </w:rPr>
      </w:pPr>
    </w:p>
    <w:p w:rsidR="001D30EA" w:rsidRDefault="001D30EA" w:rsidP="001D30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Yours sincerely, </w:t>
      </w:r>
    </w:p>
    <w:p w:rsidR="001D30EA" w:rsidRDefault="001D30EA" w:rsidP="001D30EA">
      <w:pPr>
        <w:pStyle w:val="Default"/>
        <w:ind w:left="284"/>
        <w:rPr>
          <w:sz w:val="23"/>
          <w:szCs w:val="23"/>
        </w:rPr>
      </w:pPr>
    </w:p>
    <w:p w:rsidR="001D30EA" w:rsidRDefault="001D30EA" w:rsidP="001D30EA">
      <w:pPr>
        <w:pStyle w:val="Default"/>
        <w:rPr>
          <w:sz w:val="23"/>
          <w:szCs w:val="23"/>
        </w:rPr>
      </w:pPr>
    </w:p>
    <w:p w:rsidR="003278CC" w:rsidRDefault="003278CC" w:rsidP="001D30EA">
      <w:pPr>
        <w:pStyle w:val="Default"/>
        <w:rPr>
          <w:sz w:val="23"/>
          <w:szCs w:val="23"/>
        </w:rPr>
      </w:pPr>
    </w:p>
    <w:p w:rsidR="001D30EA" w:rsidRDefault="001D30EA" w:rsidP="001D30EA">
      <w:pPr>
        <w:pStyle w:val="Default"/>
        <w:rPr>
          <w:sz w:val="23"/>
          <w:szCs w:val="23"/>
        </w:rPr>
      </w:pPr>
    </w:p>
    <w:p w:rsidR="001D30EA" w:rsidRDefault="001D30EA" w:rsidP="001D30EA">
      <w:pPr>
        <w:pStyle w:val="Default"/>
        <w:rPr>
          <w:sz w:val="23"/>
          <w:szCs w:val="23"/>
        </w:rPr>
      </w:pPr>
    </w:p>
    <w:p w:rsidR="001D30EA" w:rsidRDefault="001D30EA" w:rsidP="001D30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Anna Willock</w:t>
      </w:r>
    </w:p>
    <w:p w:rsidR="001D30EA" w:rsidRDefault="001D30EA" w:rsidP="001D30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WCPFC Commissioner (Australia)</w:t>
      </w:r>
    </w:p>
    <w:p w:rsidR="001D30EA" w:rsidRDefault="001D30EA" w:rsidP="001D30EA">
      <w:pPr>
        <w:pStyle w:val="Default"/>
      </w:pPr>
    </w:p>
    <w:p w:rsidR="00C21E72" w:rsidRDefault="00C21E72" w:rsidP="001D30EA">
      <w:pPr>
        <w:pStyle w:val="Default"/>
      </w:pPr>
    </w:p>
    <w:sectPr w:rsidR="00C21E72" w:rsidSect="001D30EA">
      <w:headerReference w:type="default" r:id="rId8"/>
      <w:headerReference w:type="first" r:id="rId9"/>
      <w:footerReference w:type="first" r:id="rId10"/>
      <w:pgSz w:w="11907" w:h="16840" w:code="9"/>
      <w:pgMar w:top="1134" w:right="1134" w:bottom="1560" w:left="1276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6D3" w:rsidRDefault="00E756D3">
      <w:r>
        <w:separator/>
      </w:r>
    </w:p>
  </w:endnote>
  <w:endnote w:type="continuationSeparator" w:id="0">
    <w:p w:rsidR="00E756D3" w:rsidRDefault="00E756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A88" w:rsidRDefault="005F62A1">
    <w:pPr>
      <w:pStyle w:val="Footer"/>
    </w:pPr>
    <w:r w:rsidRPr="005F62A1">
      <w:rPr>
        <w:noProof/>
        <w:sz w:val="20"/>
        <w:lang w:val="en-US"/>
      </w:rPr>
      <w:pict>
        <v:group id="_x0000_s2051" style="position:absolute;margin-left:0;margin-top:10.95pt;width:498.55pt;height:27.15pt;z-index:251658752" coordorigin="1134,16074" coordsize="9971,543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1145;top:16250;width:9960;height:367;mso-position-horizontal-relative:page;mso-position-vertical-relative:page" filled="f" stroked="f">
            <v:textbox style="mso-next-textbox:#_x0000_s2052" inset="0,0,0,0">
              <w:txbxContent>
                <w:p w:rsidR="00285A88" w:rsidRDefault="00285A88">
                  <w:pPr>
                    <w:pStyle w:val="Heading4"/>
                    <w:jc w:val="left"/>
                    <w:rPr>
                      <w:rFonts w:ascii="Times New Roman" w:hAnsi="Times New Roman"/>
                      <w:spacing w:val="74"/>
                    </w:rPr>
                  </w:pPr>
                  <w:r>
                    <w:rPr>
                      <w:rFonts w:ascii="Times New Roman" w:hAnsi="Times New Roman"/>
                      <w:spacing w:val="74"/>
                    </w:rPr>
                    <w:t>DEPARTMENT OF AGRICULTURE, FISHERIES AND FORESTRY</w:t>
                  </w:r>
                </w:p>
              </w:txbxContent>
            </v:textbox>
          </v:shape>
          <v:line id="_x0000_s2053" style="position:absolute;mso-position-horizontal-relative:page;mso-position-vertical-relative:page" from="1134,16074" to="10772,16074" strokeweight=".5pt"/>
        </v:group>
      </w:pict>
    </w:r>
    <w:r w:rsidRPr="005F62A1">
      <w:rPr>
        <w:noProof/>
        <w:sz w:val="20"/>
        <w:lang w:val="en-US"/>
      </w:rPr>
      <w:pict>
        <v:shape id="_x0000_s2050" type="#_x0000_t202" style="position:absolute;margin-left:0;margin-top:783.2pt;width:595.3pt;height:18pt;z-index:251657728;mso-position-horizontal-relative:page;mso-position-vertical-relative:page" filled="f" stroked="f">
          <v:textbox style="mso-next-textbox:#_x0000_s2050">
            <w:txbxContent>
              <w:p w:rsidR="00285A88" w:rsidRDefault="00285A88">
                <w:pPr>
                  <w:jc w:val="center"/>
                  <w:rPr>
                    <w:rFonts w:ascii="Times" w:hAnsi="Times"/>
                    <w:spacing w:val="-8"/>
                    <w:sz w:val="17"/>
                  </w:rPr>
                </w:pPr>
                <w:r>
                  <w:rPr>
                    <w:rFonts w:ascii="Times" w:hAnsi="Times"/>
                    <w:spacing w:val="-8"/>
                    <w:sz w:val="16"/>
                    <w:szCs w:val="16"/>
                  </w:rPr>
                  <w:t>18 Marcus Clarke Street   Canberra City   ACT     GPO Box 858   Canberra   ACT   2601      ph +61 2 6272 3933     fax +61 6272 3008</w:t>
                </w:r>
                <w:r>
                  <w:rPr>
                    <w:rFonts w:ascii="Times" w:hAnsi="Times"/>
                    <w:spacing w:val="-8"/>
                    <w:sz w:val="17"/>
                  </w:rPr>
                  <w:t xml:space="preserve">     </w:t>
                </w:r>
                <w:r>
                  <w:rPr>
                    <w:rFonts w:ascii="Times" w:hAnsi="Times"/>
                    <w:b/>
                    <w:bCs/>
                    <w:spacing w:val="-8"/>
                    <w:sz w:val="17"/>
                  </w:rPr>
                  <w:t xml:space="preserve">www.daff.gov.au   </w:t>
                </w:r>
                <w:r>
                  <w:rPr>
                    <w:rFonts w:ascii="Times" w:hAnsi="Times"/>
                    <w:spacing w:val="-8"/>
                    <w:sz w:val="10"/>
                  </w:rPr>
                  <w:t>ABN 24 113 085 695</w:t>
                </w:r>
                <w:r>
                  <w:rPr>
                    <w:rFonts w:ascii="Times" w:hAnsi="Times"/>
                    <w:b/>
                    <w:bCs/>
                    <w:spacing w:val="-8"/>
                    <w:sz w:val="17"/>
                  </w:rPr>
                  <w:t xml:space="preserve"> </w:t>
                </w:r>
              </w:p>
              <w:p w:rsidR="00285A88" w:rsidRDefault="00285A88">
                <w:pPr>
                  <w:jc w:val="center"/>
                  <w:rPr>
                    <w:rFonts w:ascii="Times" w:hAnsi="Times"/>
                    <w:sz w:val="1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6D3" w:rsidRDefault="00E756D3">
      <w:r>
        <w:separator/>
      </w:r>
    </w:p>
  </w:footnote>
  <w:footnote w:type="continuationSeparator" w:id="0">
    <w:p w:rsidR="00E756D3" w:rsidRDefault="00E756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A88" w:rsidRDefault="00285A88">
    <w:pPr>
      <w:pStyle w:val="Header"/>
      <w:tabs>
        <w:tab w:val="clear" w:pos="4153"/>
        <w:tab w:val="left" w:pos="4253"/>
      </w:tabs>
      <w:rPr>
        <w:rFonts w:ascii="Tahoma" w:hAnsi="Tahoma" w:cs="Tahoma"/>
        <w:b/>
        <w:bCs/>
        <w:spacing w:val="60"/>
        <w:sz w:val="20"/>
      </w:rPr>
    </w:pP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A88" w:rsidRDefault="005F62A1">
    <w:pPr>
      <w:pStyle w:val="Header"/>
      <w:tabs>
        <w:tab w:val="clear" w:pos="4153"/>
        <w:tab w:val="clear" w:pos="8306"/>
        <w:tab w:val="left" w:pos="2325"/>
      </w:tabs>
    </w:pPr>
    <w:r w:rsidRPr="005F62A1">
      <w:rPr>
        <w:noProof/>
        <w:sz w:val="20"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.65pt;margin-top:39.2pt;width:493.4pt;height:90pt;z-index:251656704;mso-position-horizontal-relative:page;mso-position-vertical-relative:page" filled="f" stroked="f">
          <v:textbox style="mso-next-textbox:#_x0000_s2049">
            <w:txbxContent>
              <w:p w:rsidR="00285A88" w:rsidRDefault="005F62A1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311.8pt;height:50.1pt">
                      <v:imagedata r:id="rId1" o:title="DAFF left 2 600dpi"/>
                    </v:shape>
                  </w:pict>
                </w:r>
              </w:p>
            </w:txbxContent>
          </v:textbox>
          <w10:wrap type="square" anchorx="page" anchory="page"/>
        </v:shape>
      </w:pict>
    </w:r>
    <w:r w:rsidR="00285A88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85A79"/>
    <w:multiLevelType w:val="hybridMultilevel"/>
    <w:tmpl w:val="24A2D99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4121CD"/>
    <w:multiLevelType w:val="hybridMultilevel"/>
    <w:tmpl w:val="D388C6E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3A300F4"/>
    <w:multiLevelType w:val="hybridMultilevel"/>
    <w:tmpl w:val="591C0CFE"/>
    <w:lvl w:ilvl="0" w:tplc="5A3AF126">
      <w:start w:val="1"/>
      <w:numFmt w:val="bullet"/>
      <w:pStyle w:val="DotPoin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  <w:sz w:val="20"/>
        <w:szCs w:val="20"/>
      </w:rPr>
    </w:lvl>
    <w:lvl w:ilvl="1" w:tplc="0C090003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3">
    <w:nsid w:val="764C2618"/>
    <w:multiLevelType w:val="hybridMultilevel"/>
    <w:tmpl w:val="1B4807F2"/>
    <w:lvl w:ilvl="0" w:tplc="532883F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B9C5765"/>
    <w:multiLevelType w:val="hybridMultilevel"/>
    <w:tmpl w:val="063C8F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2"/>
  </w:num>
  <w:num w:numId="4">
    <w:abstractNumId w:val="2"/>
  </w:num>
  <w:num w:numId="5">
    <w:abstractNumId w:val="0"/>
  </w:num>
  <w:num w:numId="6">
    <w:abstractNumId w:val="1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3F01"/>
  <w:trackRevisions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1E72"/>
    <w:rsid w:val="000A29B2"/>
    <w:rsid w:val="0018666F"/>
    <w:rsid w:val="001D30EA"/>
    <w:rsid w:val="00270717"/>
    <w:rsid w:val="00285A88"/>
    <w:rsid w:val="003278CC"/>
    <w:rsid w:val="00451AFA"/>
    <w:rsid w:val="004566FB"/>
    <w:rsid w:val="00571849"/>
    <w:rsid w:val="005F62A1"/>
    <w:rsid w:val="007F0165"/>
    <w:rsid w:val="00B10F5F"/>
    <w:rsid w:val="00C21E72"/>
    <w:rsid w:val="00D36CD2"/>
    <w:rsid w:val="00E756D3"/>
    <w:rsid w:val="00EC1D88"/>
    <w:rsid w:val="00F170A6"/>
    <w:rsid w:val="00FE3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66FB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4566FB"/>
    <w:pPr>
      <w:keepNext/>
      <w:outlineLvl w:val="0"/>
    </w:pPr>
    <w:rPr>
      <w:rFonts w:ascii="Tahoma" w:hAnsi="Tahoma" w:cs="Tahoma"/>
      <w:b/>
      <w:bCs/>
      <w:spacing w:val="60"/>
    </w:rPr>
  </w:style>
  <w:style w:type="paragraph" w:styleId="Heading2">
    <w:name w:val="heading 2"/>
    <w:basedOn w:val="Normal"/>
    <w:next w:val="Normal"/>
    <w:qFormat/>
    <w:rsid w:val="004566FB"/>
    <w:pPr>
      <w:keepNext/>
      <w:jc w:val="center"/>
      <w:outlineLvl w:val="1"/>
    </w:pPr>
    <w:rPr>
      <w:rFonts w:ascii="Tahoma" w:hAnsi="Tahoma"/>
      <w:b/>
      <w:spacing w:val="98"/>
      <w:sz w:val="18"/>
    </w:rPr>
  </w:style>
  <w:style w:type="paragraph" w:styleId="Heading4">
    <w:name w:val="heading 4"/>
    <w:basedOn w:val="Normal"/>
    <w:next w:val="Normal"/>
    <w:qFormat/>
    <w:rsid w:val="004566FB"/>
    <w:pPr>
      <w:keepNext/>
      <w:jc w:val="center"/>
      <w:outlineLvl w:val="3"/>
    </w:pPr>
    <w:rPr>
      <w:rFonts w:ascii="Tahoma" w:hAnsi="Tahoma"/>
      <w:b/>
      <w:spacing w:val="8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566F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566FB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4566FB"/>
    <w:pPr>
      <w:spacing w:line="200" w:lineRule="exact"/>
    </w:pPr>
    <w:rPr>
      <w:rFonts w:ascii="Tahoma" w:hAnsi="Tahoma"/>
      <w:spacing w:val="6"/>
      <w:sz w:val="14"/>
    </w:rPr>
  </w:style>
  <w:style w:type="character" w:styleId="Hyperlink">
    <w:name w:val="Hyperlink"/>
    <w:basedOn w:val="DefaultParagraphFont"/>
    <w:rsid w:val="004566FB"/>
    <w:rPr>
      <w:color w:val="0000FF"/>
      <w:u w:val="single"/>
    </w:rPr>
  </w:style>
  <w:style w:type="paragraph" w:styleId="BodyText2">
    <w:name w:val="Body Text 2"/>
    <w:basedOn w:val="Normal"/>
    <w:rsid w:val="004566FB"/>
    <w:rPr>
      <w:sz w:val="22"/>
    </w:rPr>
  </w:style>
  <w:style w:type="paragraph" w:customStyle="1" w:styleId="DotPoint">
    <w:name w:val="DotPoint"/>
    <w:basedOn w:val="Normal"/>
    <w:rsid w:val="004566FB"/>
    <w:pPr>
      <w:numPr>
        <w:numId w:val="1"/>
      </w:numPr>
    </w:pPr>
  </w:style>
  <w:style w:type="paragraph" w:styleId="BalloonText">
    <w:name w:val="Balloon Text"/>
    <w:basedOn w:val="Normal"/>
    <w:semiHidden/>
    <w:rsid w:val="004566F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21E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D30EA"/>
    <w:pPr>
      <w:overflowPunct/>
      <w:autoSpaceDE/>
      <w:autoSpaceDN/>
      <w:adjustRightInd/>
      <w:ind w:left="720"/>
      <w:textAlignment w:val="auto"/>
    </w:pPr>
    <w:rPr>
      <w:szCs w:val="24"/>
      <w:lang w:eastAsia="en-AU"/>
    </w:rPr>
  </w:style>
  <w:style w:type="character" w:styleId="CommentReference">
    <w:name w:val="annotation reference"/>
    <w:basedOn w:val="DefaultParagraphFont"/>
    <w:rsid w:val="0018666F"/>
    <w:rPr>
      <w:sz w:val="16"/>
      <w:szCs w:val="16"/>
    </w:rPr>
  </w:style>
  <w:style w:type="paragraph" w:styleId="CommentText">
    <w:name w:val="annotation text"/>
    <w:basedOn w:val="Normal"/>
    <w:link w:val="CommentTextChar"/>
    <w:rsid w:val="0018666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8666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866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866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oreignsurveillanceresponse@afma.gov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Templates\DAFF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DAFF letterhead</Template>
  <TotalTime>3</TotalTime>
  <Pages>2</Pages>
  <Words>471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DAFF letterhead</vt:lpstr>
    </vt:vector>
  </TitlesOfParts>
  <Company>AFFA</Company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DAFF letterhead</dc:title>
  <dc:subject/>
  <dc:creator>goodman camille</dc:creator>
  <cp:keywords/>
  <dc:description/>
  <cp:lastModifiedBy>mcgrath terri</cp:lastModifiedBy>
  <cp:revision>2</cp:revision>
  <cp:lastPrinted>2011-08-23T02:35:00Z</cp:lastPrinted>
  <dcterms:created xsi:type="dcterms:W3CDTF">2011-08-23T06:47:00Z</dcterms:created>
  <dcterms:modified xsi:type="dcterms:W3CDTF">2011-08-23T06:47:00Z</dcterms:modified>
</cp:coreProperties>
</file>