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D9" w:rsidRDefault="00BA62D9" w:rsidP="00037D97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UNITED STATES OF AMERICA</w:t>
      </w:r>
    </w:p>
    <w:p w:rsidR="00BA62D9" w:rsidRDefault="00BA62D9" w:rsidP="00BA62D9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 xml:space="preserve">United States of America </w:t>
      </w:r>
      <w:r w:rsidRPr="00761BF6">
        <w:rPr>
          <w:b/>
        </w:rPr>
        <w:t>- covering 2011 activities</w:t>
      </w:r>
    </w:p>
    <w:p w:rsidR="00BA62D9" w:rsidRPr="00761BF6" w:rsidRDefault="00BA62D9" w:rsidP="00BA62D9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3013"/>
        <w:gridCol w:w="1957"/>
        <w:gridCol w:w="580"/>
        <w:gridCol w:w="2485"/>
        <w:gridCol w:w="2485"/>
      </w:tblGrid>
      <w:tr w:rsidR="00BA62D9" w:rsidRPr="00F6548C" w:rsidTr="00812AAD">
        <w:tc>
          <w:tcPr>
            <w:tcW w:w="2315" w:type="dxa"/>
            <w:shd w:val="clear" w:color="auto" w:fill="C6D9F1" w:themeFill="text2" w:themeFillTint="33"/>
          </w:tcPr>
          <w:p w:rsidR="00BA62D9" w:rsidRPr="00F6548C" w:rsidRDefault="00BA62D9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3013" w:type="dxa"/>
            <w:shd w:val="clear" w:color="auto" w:fill="C6D9F1" w:themeFill="text2" w:themeFillTint="33"/>
          </w:tcPr>
          <w:p w:rsidR="00BA62D9" w:rsidRPr="00F6548C" w:rsidRDefault="00BA62D9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537" w:type="dxa"/>
            <w:gridSpan w:val="2"/>
            <w:shd w:val="clear" w:color="auto" w:fill="C6D9F1" w:themeFill="text2" w:themeFillTint="33"/>
          </w:tcPr>
          <w:p w:rsidR="00BA62D9" w:rsidRPr="00F6548C" w:rsidRDefault="00BA62D9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Pr="00F6548C" w:rsidRDefault="00BA62D9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812AAD" w:rsidP="007360EF">
            <w:pPr>
              <w:rPr>
                <w:b/>
              </w:rPr>
            </w:pPr>
            <w:r>
              <w:rPr>
                <w:b/>
              </w:rPr>
              <w:t xml:space="preserve">AR Part 2 2012 CCM Reponses </w:t>
            </w:r>
          </w:p>
        </w:tc>
      </w:tr>
      <w:tr w:rsidR="00BA62D9" w:rsidRPr="00F6548C" w:rsidTr="00812AAD">
        <w:tc>
          <w:tcPr>
            <w:tcW w:w="2315" w:type="dxa"/>
            <w:shd w:val="clear" w:color="auto" w:fill="auto"/>
          </w:tcPr>
          <w:p w:rsidR="00BA62D9" w:rsidRPr="00F6548C" w:rsidRDefault="00BA62D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3013" w:type="dxa"/>
          </w:tcPr>
          <w:p w:rsidR="00BA62D9" w:rsidRPr="00F6548C" w:rsidRDefault="00BA62D9" w:rsidP="00154313">
            <w:pPr>
              <w:jc w:val="both"/>
            </w:pPr>
            <w:r w:rsidRPr="00F6548C">
              <w:t>None</w:t>
            </w:r>
          </w:p>
        </w:tc>
        <w:tc>
          <w:tcPr>
            <w:tcW w:w="2537" w:type="dxa"/>
            <w:gridSpan w:val="2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2485" w:type="dxa"/>
          </w:tcPr>
          <w:p w:rsidR="00BA62D9" w:rsidRPr="00F6548C" w:rsidRDefault="00BA62D9" w:rsidP="00154313">
            <w:pPr>
              <w:jc w:val="both"/>
            </w:pPr>
            <w:r>
              <w:t>A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BA62D9" w:rsidP="00154313">
            <w:pPr>
              <w:jc w:val="both"/>
            </w:pPr>
          </w:p>
        </w:tc>
      </w:tr>
      <w:tr w:rsidR="00BA62D9" w:rsidRPr="00F6548C" w:rsidTr="00812AAD">
        <w:tc>
          <w:tcPr>
            <w:tcW w:w="2315" w:type="dxa"/>
            <w:shd w:val="clear" w:color="auto" w:fill="auto"/>
          </w:tcPr>
          <w:p w:rsidR="00BA62D9" w:rsidRPr="00F6548C" w:rsidRDefault="00BA62D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3013" w:type="dxa"/>
          </w:tcPr>
          <w:p w:rsidR="00BA62D9" w:rsidRPr="00F6548C" w:rsidRDefault="00BA62D9" w:rsidP="00154313">
            <w:pPr>
              <w:jc w:val="both"/>
            </w:pPr>
            <w:r w:rsidRPr="00F6548C">
              <w:t>None</w:t>
            </w:r>
          </w:p>
        </w:tc>
        <w:tc>
          <w:tcPr>
            <w:tcW w:w="2537" w:type="dxa"/>
            <w:gridSpan w:val="2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2485" w:type="dxa"/>
          </w:tcPr>
          <w:p w:rsidR="00BA62D9" w:rsidRPr="00F6548C" w:rsidRDefault="00BA62D9" w:rsidP="00154313">
            <w:pPr>
              <w:jc w:val="both"/>
            </w:pPr>
            <w:r>
              <w:t>A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BA62D9" w:rsidP="00154313">
            <w:pPr>
              <w:jc w:val="both"/>
            </w:pPr>
          </w:p>
        </w:tc>
      </w:tr>
      <w:tr w:rsidR="00BA62D9" w:rsidRPr="00F6548C" w:rsidTr="00812AAD">
        <w:tc>
          <w:tcPr>
            <w:tcW w:w="2315" w:type="dxa"/>
            <w:shd w:val="clear" w:color="auto" w:fill="auto"/>
          </w:tcPr>
          <w:p w:rsidR="00BA62D9" w:rsidRPr="00F6548C" w:rsidRDefault="00BA62D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3013" w:type="dxa"/>
          </w:tcPr>
          <w:p w:rsidR="00BA62D9" w:rsidRPr="00F6548C" w:rsidRDefault="00BA62D9" w:rsidP="004F73F0">
            <w:pPr>
              <w:jc w:val="both"/>
              <w:rPr>
                <w:i/>
              </w:rPr>
            </w:pPr>
            <w:r w:rsidRPr="00F6548C">
              <w:t>200</w:t>
            </w:r>
            <w:r>
              <w:t>8</w:t>
            </w:r>
            <w:r w:rsidRPr="00F6548C">
              <w:t xml:space="preserve">-01 </w:t>
            </w:r>
            <w:proofErr w:type="spellStart"/>
            <w:r>
              <w:t>Bigeye</w:t>
            </w:r>
            <w:proofErr w:type="spellEnd"/>
            <w:r>
              <w:t xml:space="preserve"> and </w:t>
            </w:r>
            <w:proofErr w:type="spellStart"/>
            <w:r>
              <w:t>Yellowfin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23:  Submit FAD management Plan</w:t>
            </w:r>
          </w:p>
          <w:p w:rsidR="00BA62D9" w:rsidRPr="00F6548C" w:rsidRDefault="00BA62D9" w:rsidP="00235EDC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i/>
              </w:rPr>
            </w:pPr>
            <w:r>
              <w:rPr>
                <w:i/>
              </w:rPr>
              <w:t>US has not submitted a FAD management plan but has provided explanation regarding work underway to develop such a plan</w:t>
            </w:r>
          </w:p>
        </w:tc>
        <w:tc>
          <w:tcPr>
            <w:tcW w:w="2537" w:type="dxa"/>
            <w:gridSpan w:val="2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2485" w:type="dxa"/>
          </w:tcPr>
          <w:p w:rsidR="00BA62D9" w:rsidRPr="00F6548C" w:rsidRDefault="00BA62D9" w:rsidP="00154313">
            <w:pPr>
              <w:jc w:val="both"/>
            </w:pPr>
            <w:r>
              <w:t>C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812AAD" w:rsidP="00154313">
            <w:pPr>
              <w:jc w:val="both"/>
            </w:pPr>
            <w:r>
              <w:t>The US plans to submit a FAD management plan in advance of the 2013 TCC</w:t>
            </w:r>
          </w:p>
          <w:p w:rsidR="00325664" w:rsidRDefault="00325664" w:rsidP="00154313">
            <w:pPr>
              <w:jc w:val="both"/>
            </w:pPr>
          </w:p>
          <w:p w:rsidR="00325664" w:rsidRPr="00325664" w:rsidRDefault="00325664" w:rsidP="00154313">
            <w:pPr>
              <w:jc w:val="both"/>
              <w:rPr>
                <w:i/>
              </w:rPr>
            </w:pPr>
            <w:r>
              <w:rPr>
                <w:i/>
              </w:rPr>
              <w:t>WCPFC NOTE: this was received 20 Aug 2013</w:t>
            </w:r>
            <w:bookmarkStart w:id="0" w:name="_GoBack"/>
            <w:bookmarkEnd w:id="0"/>
          </w:p>
        </w:tc>
      </w:tr>
      <w:tr w:rsidR="00BA62D9" w:rsidRPr="00F6548C" w:rsidTr="00812AAD">
        <w:tc>
          <w:tcPr>
            <w:tcW w:w="2315" w:type="dxa"/>
            <w:shd w:val="clear" w:color="auto" w:fill="auto"/>
          </w:tcPr>
          <w:p w:rsidR="00BA62D9" w:rsidRPr="00F6548C" w:rsidRDefault="00BA62D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3013" w:type="dxa"/>
          </w:tcPr>
          <w:p w:rsidR="00BA62D9" w:rsidRPr="002D2D1A" w:rsidRDefault="00BA62D9" w:rsidP="002D2D1A">
            <w:pPr>
              <w:jc w:val="both"/>
            </w:pPr>
            <w:r>
              <w:t>None</w:t>
            </w:r>
          </w:p>
        </w:tc>
        <w:tc>
          <w:tcPr>
            <w:tcW w:w="2537" w:type="dxa"/>
            <w:gridSpan w:val="2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2485" w:type="dxa"/>
          </w:tcPr>
          <w:p w:rsidR="00BA62D9" w:rsidRPr="00F6548C" w:rsidRDefault="00BA62D9" w:rsidP="00154313">
            <w:pPr>
              <w:jc w:val="both"/>
            </w:pPr>
            <w:r>
              <w:t>A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BA62D9" w:rsidP="00154313">
            <w:pPr>
              <w:jc w:val="both"/>
            </w:pPr>
          </w:p>
        </w:tc>
      </w:tr>
      <w:tr w:rsidR="00BA62D9" w:rsidRPr="00F6548C" w:rsidTr="00812AAD">
        <w:tc>
          <w:tcPr>
            <w:tcW w:w="2315" w:type="dxa"/>
            <w:shd w:val="clear" w:color="auto" w:fill="auto"/>
          </w:tcPr>
          <w:p w:rsidR="00BA62D9" w:rsidRPr="00F6548C" w:rsidRDefault="00BA62D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3013" w:type="dxa"/>
          </w:tcPr>
          <w:p w:rsidR="00BA62D9" w:rsidRPr="00F6548C" w:rsidRDefault="00BA62D9" w:rsidP="002D2D1A">
            <w:pPr>
              <w:jc w:val="both"/>
            </w:pPr>
            <w:r>
              <w:t>None</w:t>
            </w:r>
          </w:p>
        </w:tc>
        <w:tc>
          <w:tcPr>
            <w:tcW w:w="2537" w:type="dxa"/>
            <w:gridSpan w:val="2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2485" w:type="dxa"/>
          </w:tcPr>
          <w:p w:rsidR="00BA62D9" w:rsidRPr="00F6548C" w:rsidRDefault="00BA62D9" w:rsidP="00154313">
            <w:pPr>
              <w:jc w:val="both"/>
            </w:pPr>
            <w:r>
              <w:t>A</w:t>
            </w:r>
          </w:p>
        </w:tc>
        <w:tc>
          <w:tcPr>
            <w:tcW w:w="2485" w:type="dxa"/>
            <w:shd w:val="clear" w:color="auto" w:fill="C6D9F1" w:themeFill="text2" w:themeFillTint="33"/>
          </w:tcPr>
          <w:p w:rsidR="00BA62D9" w:rsidRDefault="00BA62D9" w:rsidP="00154313">
            <w:pPr>
              <w:jc w:val="both"/>
            </w:pPr>
          </w:p>
        </w:tc>
      </w:tr>
      <w:tr w:rsidR="00BA62D9" w:rsidRPr="00F6548C" w:rsidTr="00123416">
        <w:trPr>
          <w:gridAfter w:val="4"/>
          <w:wAfter w:w="7507" w:type="dxa"/>
        </w:trPr>
        <w:tc>
          <w:tcPr>
            <w:tcW w:w="2315" w:type="dxa"/>
            <w:shd w:val="clear" w:color="auto" w:fill="C6D9F1" w:themeFill="text2" w:themeFillTint="33"/>
          </w:tcPr>
          <w:p w:rsidR="00BA62D9" w:rsidRPr="00F6548C" w:rsidRDefault="00BA62D9" w:rsidP="00154313">
            <w:pPr>
              <w:jc w:val="both"/>
            </w:pPr>
          </w:p>
        </w:tc>
        <w:tc>
          <w:tcPr>
            <w:tcW w:w="3013" w:type="dxa"/>
            <w:shd w:val="clear" w:color="auto" w:fill="C6D9F1" w:themeFill="text2" w:themeFillTint="33"/>
          </w:tcPr>
          <w:p w:rsidR="00BA62D9" w:rsidRPr="00F6548C" w:rsidRDefault="00BA62D9" w:rsidP="00154313">
            <w:pPr>
              <w:jc w:val="both"/>
            </w:pPr>
          </w:p>
        </w:tc>
      </w:tr>
      <w:tr w:rsidR="00BA62D9" w:rsidRPr="00F6548C" w:rsidTr="00812AAD">
        <w:trPr>
          <w:gridAfter w:val="3"/>
          <w:wAfter w:w="5550" w:type="dxa"/>
        </w:trPr>
        <w:tc>
          <w:tcPr>
            <w:tcW w:w="2315" w:type="dxa"/>
            <w:shd w:val="clear" w:color="auto" w:fill="auto"/>
            <w:vAlign w:val="center"/>
          </w:tcPr>
          <w:p w:rsidR="00BA62D9" w:rsidRPr="00A2601B" w:rsidRDefault="00BA62D9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3013" w:type="dxa"/>
            <w:shd w:val="clear" w:color="auto" w:fill="FDE9D9" w:themeFill="accent6" w:themeFillTint="33"/>
          </w:tcPr>
          <w:p w:rsidR="00BA62D9" w:rsidRDefault="00BA62D9" w:rsidP="00154313">
            <w:pPr>
              <w:jc w:val="both"/>
              <w:rPr>
                <w:b/>
                <w:i/>
              </w:rPr>
            </w:pPr>
          </w:p>
          <w:p w:rsidR="00BA62D9" w:rsidRPr="00A2601B" w:rsidRDefault="00BA62D9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1957" w:type="dxa"/>
            <w:shd w:val="clear" w:color="auto" w:fill="FDE9D9" w:themeFill="accent6" w:themeFillTint="33"/>
          </w:tcPr>
          <w:p w:rsidR="00BA62D9" w:rsidRDefault="00BA62D9" w:rsidP="00154313">
            <w:pPr>
              <w:jc w:val="both"/>
              <w:rPr>
                <w:b/>
                <w:i/>
              </w:rPr>
            </w:pPr>
          </w:p>
        </w:tc>
      </w:tr>
    </w:tbl>
    <w:p w:rsidR="005B5855" w:rsidRDefault="005B5855" w:rsidP="00037D97">
      <w:pPr>
        <w:jc w:val="right"/>
        <w:rPr>
          <w:b/>
          <w:sz w:val="24"/>
        </w:rPr>
      </w:pPr>
    </w:p>
    <w:sectPr w:rsidR="005B5855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10" w:rsidRDefault="00CB4410" w:rsidP="00A72D72">
      <w:pPr>
        <w:spacing w:after="0" w:line="240" w:lineRule="auto"/>
      </w:pPr>
      <w:r>
        <w:separator/>
      </w:r>
    </w:p>
  </w:endnote>
  <w:endnote w:type="continuationSeparator" w:id="0">
    <w:p w:rsidR="00CB4410" w:rsidRDefault="00CB4410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10" w:rsidRDefault="00CB4410" w:rsidP="00A72D72">
      <w:pPr>
        <w:spacing w:after="0" w:line="240" w:lineRule="auto"/>
      </w:pPr>
      <w:r>
        <w:separator/>
      </w:r>
    </w:p>
  </w:footnote>
  <w:footnote w:type="continuationSeparator" w:id="0">
    <w:p w:rsidR="00CB4410" w:rsidRDefault="00CB4410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10BB"/>
    <w:multiLevelType w:val="hybridMultilevel"/>
    <w:tmpl w:val="2A3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87D27"/>
    <w:multiLevelType w:val="hybridMultilevel"/>
    <w:tmpl w:val="1242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81A6B"/>
    <w:multiLevelType w:val="hybridMultilevel"/>
    <w:tmpl w:val="7E5C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D7A80"/>
    <w:multiLevelType w:val="hybridMultilevel"/>
    <w:tmpl w:val="A02C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D1593"/>
    <w:multiLevelType w:val="hybridMultilevel"/>
    <w:tmpl w:val="E02CA2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37D97"/>
    <w:rsid w:val="00055731"/>
    <w:rsid w:val="000849BA"/>
    <w:rsid w:val="000A551E"/>
    <w:rsid w:val="000B48B3"/>
    <w:rsid w:val="000B6CAA"/>
    <w:rsid w:val="000C31AC"/>
    <w:rsid w:val="000C74A6"/>
    <w:rsid w:val="000E4665"/>
    <w:rsid w:val="00102FE0"/>
    <w:rsid w:val="00123416"/>
    <w:rsid w:val="00154313"/>
    <w:rsid w:val="001609BA"/>
    <w:rsid w:val="001B4D2C"/>
    <w:rsid w:val="001C3E12"/>
    <w:rsid w:val="0022059E"/>
    <w:rsid w:val="00235EDC"/>
    <w:rsid w:val="00236138"/>
    <w:rsid w:val="002517B4"/>
    <w:rsid w:val="0027354C"/>
    <w:rsid w:val="002773F6"/>
    <w:rsid w:val="002D2D1A"/>
    <w:rsid w:val="002F36CA"/>
    <w:rsid w:val="002F56AC"/>
    <w:rsid w:val="00325664"/>
    <w:rsid w:val="003468EB"/>
    <w:rsid w:val="00352BD8"/>
    <w:rsid w:val="003554D8"/>
    <w:rsid w:val="003635DF"/>
    <w:rsid w:val="00373BB3"/>
    <w:rsid w:val="003B019D"/>
    <w:rsid w:val="003E0C00"/>
    <w:rsid w:val="003F036D"/>
    <w:rsid w:val="0041706D"/>
    <w:rsid w:val="004772D1"/>
    <w:rsid w:val="004F0E5B"/>
    <w:rsid w:val="004F5A67"/>
    <w:rsid w:val="004F73F0"/>
    <w:rsid w:val="00514DE9"/>
    <w:rsid w:val="00544F91"/>
    <w:rsid w:val="0055190B"/>
    <w:rsid w:val="00561A66"/>
    <w:rsid w:val="00567DFD"/>
    <w:rsid w:val="00586590"/>
    <w:rsid w:val="005B5855"/>
    <w:rsid w:val="006643CF"/>
    <w:rsid w:val="00667217"/>
    <w:rsid w:val="006761E2"/>
    <w:rsid w:val="006A6541"/>
    <w:rsid w:val="006D3B9A"/>
    <w:rsid w:val="006D581D"/>
    <w:rsid w:val="006F7E63"/>
    <w:rsid w:val="00724A7D"/>
    <w:rsid w:val="007360EF"/>
    <w:rsid w:val="007A065C"/>
    <w:rsid w:val="007C2AC5"/>
    <w:rsid w:val="008012EC"/>
    <w:rsid w:val="00801B84"/>
    <w:rsid w:val="00812AAD"/>
    <w:rsid w:val="00825696"/>
    <w:rsid w:val="00836B9F"/>
    <w:rsid w:val="00877077"/>
    <w:rsid w:val="00892A4B"/>
    <w:rsid w:val="0090137C"/>
    <w:rsid w:val="0090482C"/>
    <w:rsid w:val="0091600A"/>
    <w:rsid w:val="00950DB8"/>
    <w:rsid w:val="00993FAA"/>
    <w:rsid w:val="009D59D1"/>
    <w:rsid w:val="00A1201F"/>
    <w:rsid w:val="00A2601B"/>
    <w:rsid w:val="00A42032"/>
    <w:rsid w:val="00A72D72"/>
    <w:rsid w:val="00A96126"/>
    <w:rsid w:val="00AF1870"/>
    <w:rsid w:val="00B17DDF"/>
    <w:rsid w:val="00B469F3"/>
    <w:rsid w:val="00B70757"/>
    <w:rsid w:val="00B85274"/>
    <w:rsid w:val="00BA62D9"/>
    <w:rsid w:val="00BC47C3"/>
    <w:rsid w:val="00BD3B50"/>
    <w:rsid w:val="00C32845"/>
    <w:rsid w:val="00C82546"/>
    <w:rsid w:val="00C9297B"/>
    <w:rsid w:val="00CA629B"/>
    <w:rsid w:val="00CB4410"/>
    <w:rsid w:val="00CF5385"/>
    <w:rsid w:val="00D24302"/>
    <w:rsid w:val="00D33495"/>
    <w:rsid w:val="00D34245"/>
    <w:rsid w:val="00D4461E"/>
    <w:rsid w:val="00D45C0E"/>
    <w:rsid w:val="00D52063"/>
    <w:rsid w:val="00DA51B1"/>
    <w:rsid w:val="00DA7F02"/>
    <w:rsid w:val="00DD5DEB"/>
    <w:rsid w:val="00E032C6"/>
    <w:rsid w:val="00E40388"/>
    <w:rsid w:val="00E73E41"/>
    <w:rsid w:val="00E76E4E"/>
    <w:rsid w:val="00EC7499"/>
    <w:rsid w:val="00F542FE"/>
    <w:rsid w:val="00F6548C"/>
    <w:rsid w:val="00FD6816"/>
    <w:rsid w:val="00FE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Lara Manarangi-Trott</cp:lastModifiedBy>
  <cp:revision>2</cp:revision>
  <dcterms:created xsi:type="dcterms:W3CDTF">2013-09-13T06:09:00Z</dcterms:created>
  <dcterms:modified xsi:type="dcterms:W3CDTF">2013-09-13T06:09:00Z</dcterms:modified>
</cp:coreProperties>
</file>