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64" w:rsidRDefault="00025A64" w:rsidP="00037D97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KIRIBATI</w:t>
      </w:r>
      <w:r w:rsidRPr="00F6548C">
        <w:rPr>
          <w:rFonts w:ascii="Arial" w:hAnsi="Arial"/>
          <w:b/>
          <w:sz w:val="24"/>
        </w:rPr>
        <w:t xml:space="preserve"> </w:t>
      </w:r>
    </w:p>
    <w:p w:rsidR="00025A64" w:rsidRDefault="00025A64" w:rsidP="00025A64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 xml:space="preserve">Japan </w:t>
      </w:r>
      <w:r w:rsidRPr="00761BF6">
        <w:rPr>
          <w:b/>
        </w:rPr>
        <w:t>- covering 2011 activities</w:t>
      </w:r>
    </w:p>
    <w:p w:rsidR="00025A64" w:rsidRPr="00761BF6" w:rsidRDefault="00025A64" w:rsidP="00025A64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199"/>
        <w:gridCol w:w="2334"/>
        <w:gridCol w:w="199"/>
        <w:gridCol w:w="61"/>
        <w:gridCol w:w="2273"/>
        <w:gridCol w:w="518"/>
        <w:gridCol w:w="2533"/>
        <w:gridCol w:w="2533"/>
      </w:tblGrid>
      <w:tr w:rsidR="00025A64" w:rsidRPr="00F6548C" w:rsidTr="00383409">
        <w:tc>
          <w:tcPr>
            <w:tcW w:w="2334" w:type="dxa"/>
            <w:shd w:val="clear" w:color="auto" w:fill="C6D9F1" w:themeFill="text2" w:themeFillTint="33"/>
          </w:tcPr>
          <w:p w:rsidR="00025A64" w:rsidRPr="00F6548C" w:rsidRDefault="00025A64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2793" w:type="dxa"/>
            <w:gridSpan w:val="4"/>
            <w:shd w:val="clear" w:color="auto" w:fill="C6D9F1" w:themeFill="text2" w:themeFillTint="33"/>
          </w:tcPr>
          <w:p w:rsidR="00025A64" w:rsidRPr="00F6548C" w:rsidRDefault="00025A64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791" w:type="dxa"/>
            <w:gridSpan w:val="2"/>
            <w:shd w:val="clear" w:color="auto" w:fill="C6D9F1" w:themeFill="text2" w:themeFillTint="33"/>
          </w:tcPr>
          <w:p w:rsidR="00025A64" w:rsidRPr="00F6548C" w:rsidRDefault="00025A64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Pr="00F6548C" w:rsidRDefault="00025A64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7360EF">
            <w:pPr>
              <w:rPr>
                <w:b/>
              </w:rPr>
            </w:pPr>
            <w:r>
              <w:rPr>
                <w:b/>
              </w:rPr>
              <w:t>AR Part 2 2012 CCM Reponses</w:t>
            </w:r>
            <w:r>
              <w:rPr>
                <w:b/>
              </w:rPr>
              <w:t xml:space="preserve">   </w:t>
            </w:r>
          </w:p>
          <w:p w:rsidR="00025A64" w:rsidRPr="00025A64" w:rsidRDefault="00025A64" w:rsidP="007360EF">
            <w:pPr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025A64">
              <w:rPr>
                <w:b/>
                <w:i/>
              </w:rPr>
              <w:t xml:space="preserve">AR </w:t>
            </w:r>
            <w:proofErr w:type="spellStart"/>
            <w:r w:rsidRPr="00025A64">
              <w:rPr>
                <w:b/>
                <w:i/>
              </w:rPr>
              <w:t>Pt</w:t>
            </w:r>
            <w:proofErr w:type="spellEnd"/>
            <w:r w:rsidRPr="00025A64">
              <w:rPr>
                <w:b/>
                <w:i/>
              </w:rPr>
              <w:t xml:space="preserve"> 2</w:t>
            </w:r>
            <w:r>
              <w:rPr>
                <w:b/>
                <w:i/>
              </w:rPr>
              <w:t xml:space="preserve"> for 2012 not</w:t>
            </w:r>
            <w:r w:rsidRPr="00025A64">
              <w:rPr>
                <w:b/>
                <w:i/>
              </w:rPr>
              <w:t xml:space="preserve"> received yet)</w:t>
            </w:r>
          </w:p>
        </w:tc>
      </w:tr>
      <w:tr w:rsidR="00025A64" w:rsidRPr="00F6548C" w:rsidTr="00025A64">
        <w:tc>
          <w:tcPr>
            <w:tcW w:w="2334" w:type="dxa"/>
            <w:shd w:val="clear" w:color="auto" w:fill="auto"/>
          </w:tcPr>
          <w:p w:rsidR="00025A64" w:rsidRPr="00F6548C" w:rsidRDefault="00025A64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2793" w:type="dxa"/>
            <w:gridSpan w:val="4"/>
          </w:tcPr>
          <w:p w:rsidR="00025A64" w:rsidRPr="000311F7" w:rsidRDefault="00025A64" w:rsidP="00154313">
            <w:pPr>
              <w:jc w:val="both"/>
              <w:rPr>
                <w:rFonts w:cstheme="minorHAnsi"/>
              </w:rPr>
            </w:pPr>
            <w:r w:rsidRPr="000311F7">
              <w:rPr>
                <w:rFonts w:cstheme="minorHAnsi"/>
              </w:rPr>
              <w:t xml:space="preserve">2010-07 Sharks </w:t>
            </w:r>
            <w:proofErr w:type="spellStart"/>
            <w:r w:rsidRPr="000311F7">
              <w:rPr>
                <w:rFonts w:cstheme="minorHAnsi"/>
              </w:rPr>
              <w:t>para</w:t>
            </w:r>
            <w:proofErr w:type="spellEnd"/>
            <w:r w:rsidRPr="000311F7">
              <w:rPr>
                <w:rFonts w:cstheme="minorHAnsi"/>
              </w:rPr>
              <w:t xml:space="preserve"> 7:  Implement 5% fin to weight ratio</w:t>
            </w:r>
          </w:p>
          <w:p w:rsidR="00025A64" w:rsidRPr="000311F7" w:rsidRDefault="00025A64" w:rsidP="00025A64">
            <w:pPr>
              <w:pStyle w:val="ListParagraph"/>
              <w:numPr>
                <w:ilvl w:val="0"/>
                <w:numId w:val="13"/>
              </w:numPr>
              <w:ind w:left="341" w:hanging="341"/>
              <w:jc w:val="both"/>
              <w:rPr>
                <w:rFonts w:cstheme="minorHAnsi"/>
              </w:rPr>
            </w:pPr>
            <w:r w:rsidRPr="000311F7">
              <w:rPr>
                <w:rFonts w:cstheme="minorHAnsi"/>
              </w:rPr>
              <w:t>Potential compliance issue</w:t>
            </w:r>
          </w:p>
          <w:p w:rsidR="00025A64" w:rsidRPr="00E24461" w:rsidRDefault="00025A64" w:rsidP="00025A6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0311F7">
              <w:rPr>
                <w:rFonts w:cstheme="minorHAnsi"/>
              </w:rPr>
              <w:t xml:space="preserve">Kiribati </w:t>
            </w:r>
            <w:r>
              <w:rPr>
                <w:rFonts w:cstheme="minorHAnsi"/>
              </w:rPr>
              <w:t xml:space="preserve">adviseKiribati is </w:t>
            </w:r>
            <w:r w:rsidRPr="000311F7">
              <w:rPr>
                <w:rFonts w:cstheme="minorHAnsi"/>
              </w:rPr>
              <w:t xml:space="preserve">currently working on regulation for sharks which </w:t>
            </w:r>
            <w:r>
              <w:rPr>
                <w:rFonts w:cstheme="minorHAnsi"/>
              </w:rPr>
              <w:t>will address</w:t>
            </w:r>
            <w:r w:rsidRPr="000311F7">
              <w:rPr>
                <w:rFonts w:cstheme="minorHAnsi"/>
              </w:rPr>
              <w:t xml:space="preserve"> this issue.</w:t>
            </w:r>
          </w:p>
        </w:tc>
        <w:tc>
          <w:tcPr>
            <w:tcW w:w="2791" w:type="dxa"/>
            <w:gridSpan w:val="2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</w:tcPr>
          <w:p w:rsidR="00025A64" w:rsidRPr="00F6548C" w:rsidRDefault="00025A64" w:rsidP="00154313">
            <w:pPr>
              <w:jc w:val="both"/>
            </w:pPr>
            <w:r>
              <w:t>C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154313">
            <w:pPr>
              <w:jc w:val="both"/>
            </w:pPr>
            <w:bookmarkStart w:id="0" w:name="_GoBack"/>
            <w:bookmarkEnd w:id="0"/>
          </w:p>
        </w:tc>
      </w:tr>
      <w:tr w:rsidR="00025A64" w:rsidRPr="00F6548C" w:rsidTr="00025A64">
        <w:tc>
          <w:tcPr>
            <w:tcW w:w="2334" w:type="dxa"/>
            <w:shd w:val="clear" w:color="auto" w:fill="auto"/>
          </w:tcPr>
          <w:p w:rsidR="00025A64" w:rsidRPr="00F6548C" w:rsidRDefault="00025A64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2793" w:type="dxa"/>
            <w:gridSpan w:val="4"/>
          </w:tcPr>
          <w:p w:rsidR="00025A64" w:rsidRPr="00F6548C" w:rsidRDefault="00025A64" w:rsidP="00CF5894">
            <w:pPr>
              <w:jc w:val="both"/>
            </w:pPr>
            <w:r>
              <w:t>None</w:t>
            </w:r>
          </w:p>
        </w:tc>
        <w:tc>
          <w:tcPr>
            <w:tcW w:w="2791" w:type="dxa"/>
            <w:gridSpan w:val="2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</w:tcPr>
          <w:p w:rsidR="00025A64" w:rsidRPr="00F6548C" w:rsidRDefault="00025A64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154313">
            <w:pPr>
              <w:jc w:val="both"/>
            </w:pPr>
          </w:p>
        </w:tc>
      </w:tr>
      <w:tr w:rsidR="00025A64" w:rsidRPr="00F6548C" w:rsidTr="00025A64">
        <w:tc>
          <w:tcPr>
            <w:tcW w:w="2334" w:type="dxa"/>
            <w:shd w:val="clear" w:color="auto" w:fill="auto"/>
          </w:tcPr>
          <w:p w:rsidR="00025A64" w:rsidRPr="00F6548C" w:rsidRDefault="00025A64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2793" w:type="dxa"/>
            <w:gridSpan w:val="4"/>
          </w:tcPr>
          <w:p w:rsidR="00025A64" w:rsidRPr="003D035C" w:rsidRDefault="00025A64" w:rsidP="00410E8A">
            <w:pPr>
              <w:jc w:val="both"/>
            </w:pPr>
            <w:r w:rsidRPr="003D035C">
              <w:t xml:space="preserve">2008-01 </w:t>
            </w:r>
            <w:proofErr w:type="spellStart"/>
            <w:r w:rsidRPr="003D035C">
              <w:t>para</w:t>
            </w:r>
            <w:proofErr w:type="spellEnd"/>
            <w:r w:rsidRPr="003D035C">
              <w:t xml:space="preserve"> 23:  Submit FAD management Plan</w:t>
            </w:r>
          </w:p>
          <w:p w:rsidR="00025A64" w:rsidRPr="003D035C" w:rsidRDefault="00025A64" w:rsidP="00025A64">
            <w:pPr>
              <w:pStyle w:val="ListParagraph"/>
              <w:numPr>
                <w:ilvl w:val="0"/>
                <w:numId w:val="14"/>
              </w:numPr>
              <w:tabs>
                <w:tab w:val="left" w:pos="341"/>
              </w:tabs>
              <w:ind w:left="341"/>
              <w:jc w:val="both"/>
            </w:pPr>
            <w:r w:rsidRPr="003D035C">
              <w:t>Potential compliance or implementation issue</w:t>
            </w:r>
          </w:p>
          <w:p w:rsidR="00025A64" w:rsidRPr="003D035C" w:rsidRDefault="00025A64" w:rsidP="00025A64">
            <w:pPr>
              <w:pStyle w:val="ListParagraph"/>
              <w:numPr>
                <w:ilvl w:val="0"/>
                <w:numId w:val="14"/>
              </w:numPr>
            </w:pPr>
            <w:r w:rsidRPr="003D035C">
              <w:t xml:space="preserve">Kiribati is in the progress of developing its FAD management plan </w:t>
            </w:r>
          </w:p>
          <w:p w:rsidR="00025A64" w:rsidRDefault="00025A64" w:rsidP="00410E8A">
            <w:pPr>
              <w:jc w:val="both"/>
            </w:pPr>
          </w:p>
          <w:p w:rsidR="00025A64" w:rsidRPr="003D035C" w:rsidRDefault="00025A64" w:rsidP="00410E8A">
            <w:pPr>
              <w:jc w:val="both"/>
            </w:pPr>
            <w:r w:rsidRPr="003D035C">
              <w:t xml:space="preserve">2009-02 FAD closures and catch retention </w:t>
            </w:r>
            <w:proofErr w:type="spellStart"/>
            <w:r w:rsidRPr="003D035C">
              <w:t>para</w:t>
            </w:r>
            <w:proofErr w:type="spellEnd"/>
            <w:r w:rsidRPr="003D035C">
              <w:t xml:space="preserve"> 4: No </w:t>
            </w:r>
            <w:r w:rsidRPr="003D035C">
              <w:lastRenderedPageBreak/>
              <w:t>vessel shall conduct any part of a set within 1nm of a FAD</w:t>
            </w:r>
          </w:p>
          <w:p w:rsidR="00025A64" w:rsidRPr="003D035C" w:rsidRDefault="00025A64" w:rsidP="00025A64">
            <w:pPr>
              <w:pStyle w:val="ListParagraph"/>
              <w:numPr>
                <w:ilvl w:val="0"/>
                <w:numId w:val="15"/>
              </w:numPr>
              <w:ind w:left="341" w:hanging="341"/>
              <w:jc w:val="both"/>
            </w:pPr>
            <w:r w:rsidRPr="003D035C">
              <w:t>Potential compliance or implementation issue.</w:t>
            </w:r>
          </w:p>
          <w:p w:rsidR="00025A64" w:rsidRDefault="00025A64" w:rsidP="00025A64">
            <w:pPr>
              <w:pStyle w:val="ListParagraph"/>
              <w:numPr>
                <w:ilvl w:val="0"/>
                <w:numId w:val="15"/>
              </w:numPr>
            </w:pPr>
            <w:r w:rsidRPr="003D035C">
              <w:t xml:space="preserve">Kiribati is currently working on regulation and plan to implement this </w:t>
            </w:r>
            <w:r>
              <w:t>r</w:t>
            </w:r>
            <w:r w:rsidRPr="003D035C">
              <w:t>equirement.</w:t>
            </w:r>
          </w:p>
          <w:p w:rsidR="00025A64" w:rsidRPr="00EC2636" w:rsidRDefault="00025A64" w:rsidP="00410E8A">
            <w:pPr>
              <w:jc w:val="both"/>
            </w:pPr>
          </w:p>
        </w:tc>
        <w:tc>
          <w:tcPr>
            <w:tcW w:w="2791" w:type="dxa"/>
            <w:gridSpan w:val="2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</w:tcPr>
          <w:p w:rsidR="00025A64" w:rsidRPr="00F6548C" w:rsidRDefault="00025A64" w:rsidP="00154313">
            <w:pPr>
              <w:jc w:val="both"/>
            </w:pPr>
            <w:r>
              <w:t>C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154313">
            <w:pPr>
              <w:jc w:val="both"/>
            </w:pPr>
          </w:p>
        </w:tc>
      </w:tr>
      <w:tr w:rsidR="00025A64" w:rsidRPr="00F6548C" w:rsidTr="00025A64">
        <w:tc>
          <w:tcPr>
            <w:tcW w:w="2334" w:type="dxa"/>
            <w:shd w:val="clear" w:color="auto" w:fill="auto"/>
          </w:tcPr>
          <w:p w:rsidR="00025A64" w:rsidRPr="00F6548C" w:rsidRDefault="00025A64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lastRenderedPageBreak/>
              <w:t>Observer and VMS coverage</w:t>
            </w:r>
          </w:p>
        </w:tc>
        <w:tc>
          <w:tcPr>
            <w:tcW w:w="2793" w:type="dxa"/>
            <w:gridSpan w:val="4"/>
          </w:tcPr>
          <w:p w:rsidR="00025A64" w:rsidRDefault="00025A64" w:rsidP="00410E8A">
            <w:pPr>
              <w:jc w:val="both"/>
            </w:pPr>
            <w:r>
              <w:t xml:space="preserve">VMS SSPs </w:t>
            </w:r>
            <w:proofErr w:type="spellStart"/>
            <w:r>
              <w:t>para</w:t>
            </w:r>
            <w:proofErr w:type="spellEnd"/>
            <w:r>
              <w:t xml:space="preserve"> 9, 11, 13, 7.2.2, 7.2.4: Conduct VMS MTU audit</w:t>
            </w:r>
          </w:p>
          <w:p w:rsidR="00025A64" w:rsidRPr="00B512C3" w:rsidRDefault="00025A64" w:rsidP="00025A64">
            <w:pPr>
              <w:pStyle w:val="ListParagraph"/>
              <w:numPr>
                <w:ilvl w:val="0"/>
                <w:numId w:val="16"/>
              </w:numPr>
              <w:ind w:left="341"/>
              <w:jc w:val="both"/>
            </w:pPr>
            <w:r w:rsidRPr="00B512C3">
              <w:t xml:space="preserve">Seeking </w:t>
            </w:r>
            <w:proofErr w:type="gramStart"/>
            <w:r w:rsidRPr="00B512C3">
              <w:t>advise</w:t>
            </w:r>
            <w:proofErr w:type="gramEnd"/>
            <w:r w:rsidRPr="00B512C3">
              <w:t xml:space="preserve"> and assistance from the Secretariat on undertaking the audit.</w:t>
            </w:r>
          </w:p>
          <w:p w:rsidR="00025A64" w:rsidRPr="00EC2636" w:rsidRDefault="00025A64" w:rsidP="00410E8A">
            <w:pPr>
              <w:jc w:val="both"/>
            </w:pPr>
          </w:p>
        </w:tc>
        <w:tc>
          <w:tcPr>
            <w:tcW w:w="2791" w:type="dxa"/>
            <w:gridSpan w:val="2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</w:tcPr>
          <w:p w:rsidR="00025A64" w:rsidRPr="00F6548C" w:rsidRDefault="00025A64" w:rsidP="00154313">
            <w:pPr>
              <w:jc w:val="both"/>
            </w:pPr>
            <w:r>
              <w:t>C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154313">
            <w:pPr>
              <w:jc w:val="both"/>
            </w:pPr>
          </w:p>
        </w:tc>
      </w:tr>
      <w:tr w:rsidR="00025A64" w:rsidRPr="00F6548C" w:rsidTr="00025A64">
        <w:tc>
          <w:tcPr>
            <w:tcW w:w="2334" w:type="dxa"/>
            <w:shd w:val="clear" w:color="auto" w:fill="auto"/>
          </w:tcPr>
          <w:p w:rsidR="00025A64" w:rsidRPr="00F6548C" w:rsidRDefault="00025A64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2793" w:type="dxa"/>
            <w:gridSpan w:val="4"/>
          </w:tcPr>
          <w:p w:rsidR="00025A64" w:rsidRPr="00F6548C" w:rsidRDefault="00025A64" w:rsidP="00151AA8">
            <w:pPr>
              <w:jc w:val="both"/>
            </w:pPr>
          </w:p>
        </w:tc>
        <w:tc>
          <w:tcPr>
            <w:tcW w:w="2791" w:type="dxa"/>
            <w:gridSpan w:val="2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</w:tcPr>
          <w:p w:rsidR="00025A64" w:rsidRPr="00F6548C" w:rsidRDefault="00025A64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025A64" w:rsidRDefault="00025A64" w:rsidP="00154313">
            <w:pPr>
              <w:jc w:val="both"/>
            </w:pPr>
          </w:p>
        </w:tc>
      </w:tr>
      <w:tr w:rsidR="00025A64" w:rsidRPr="00F6548C" w:rsidTr="00383409">
        <w:trPr>
          <w:gridAfter w:val="5"/>
          <w:wAfter w:w="7918" w:type="dxa"/>
        </w:trPr>
        <w:tc>
          <w:tcPr>
            <w:tcW w:w="2533" w:type="dxa"/>
            <w:gridSpan w:val="2"/>
            <w:shd w:val="clear" w:color="auto" w:fill="C6D9F1" w:themeFill="text2" w:themeFillTint="33"/>
          </w:tcPr>
          <w:p w:rsidR="00025A64" w:rsidRPr="00F6548C" w:rsidRDefault="00025A64" w:rsidP="00154313">
            <w:pPr>
              <w:jc w:val="both"/>
            </w:pPr>
          </w:p>
        </w:tc>
        <w:tc>
          <w:tcPr>
            <w:tcW w:w="2533" w:type="dxa"/>
            <w:gridSpan w:val="2"/>
            <w:shd w:val="clear" w:color="auto" w:fill="C6D9F1" w:themeFill="text2" w:themeFillTint="33"/>
          </w:tcPr>
          <w:p w:rsidR="00025A64" w:rsidRPr="00F6548C" w:rsidRDefault="00025A64" w:rsidP="00154313">
            <w:pPr>
              <w:jc w:val="both"/>
            </w:pPr>
          </w:p>
        </w:tc>
      </w:tr>
      <w:tr w:rsidR="00025A64" w:rsidRPr="00F6548C" w:rsidTr="00383409">
        <w:trPr>
          <w:gridAfter w:val="3"/>
          <w:wAfter w:w="5584" w:type="dxa"/>
        </w:trPr>
        <w:tc>
          <w:tcPr>
            <w:tcW w:w="2334" w:type="dxa"/>
            <w:shd w:val="clear" w:color="auto" w:fill="auto"/>
            <w:vAlign w:val="center"/>
          </w:tcPr>
          <w:p w:rsidR="00025A64" w:rsidRPr="00A2601B" w:rsidRDefault="00025A64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2533" w:type="dxa"/>
            <w:gridSpan w:val="2"/>
            <w:shd w:val="clear" w:color="auto" w:fill="FDE9D9" w:themeFill="accent6" w:themeFillTint="33"/>
          </w:tcPr>
          <w:p w:rsidR="00025A64" w:rsidRDefault="00025A64" w:rsidP="00154313">
            <w:pPr>
              <w:jc w:val="both"/>
              <w:rPr>
                <w:b/>
                <w:i/>
              </w:rPr>
            </w:pPr>
          </w:p>
          <w:p w:rsidR="00025A64" w:rsidRPr="00A2601B" w:rsidRDefault="00025A64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2533" w:type="dxa"/>
            <w:gridSpan w:val="3"/>
            <w:shd w:val="clear" w:color="auto" w:fill="FDE9D9" w:themeFill="accent6" w:themeFillTint="33"/>
          </w:tcPr>
          <w:p w:rsidR="00025A64" w:rsidRDefault="00025A64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2773F6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F3" w:rsidRDefault="00B043F3" w:rsidP="00A72D72">
      <w:pPr>
        <w:spacing w:after="0" w:line="240" w:lineRule="auto"/>
      </w:pPr>
      <w:r>
        <w:separator/>
      </w:r>
    </w:p>
  </w:endnote>
  <w:endnote w:type="continuationSeparator" w:id="0">
    <w:p w:rsidR="00B043F3" w:rsidRDefault="00B043F3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F3" w:rsidRDefault="00B043F3" w:rsidP="00A72D72">
      <w:pPr>
        <w:spacing w:after="0" w:line="240" w:lineRule="auto"/>
      </w:pPr>
      <w:r>
        <w:separator/>
      </w:r>
    </w:p>
  </w:footnote>
  <w:footnote w:type="continuationSeparator" w:id="0">
    <w:p w:rsidR="00B043F3" w:rsidRDefault="00B043F3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264F"/>
    <w:multiLevelType w:val="hybridMultilevel"/>
    <w:tmpl w:val="197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628E6"/>
    <w:multiLevelType w:val="hybridMultilevel"/>
    <w:tmpl w:val="9AB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>
    <w:nsid w:val="4C2E3353"/>
    <w:multiLevelType w:val="hybridMultilevel"/>
    <w:tmpl w:val="7786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07C48"/>
    <w:multiLevelType w:val="hybridMultilevel"/>
    <w:tmpl w:val="8E0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B24CD"/>
    <w:multiLevelType w:val="hybridMultilevel"/>
    <w:tmpl w:val="7AA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130CB"/>
    <w:multiLevelType w:val="hybridMultilevel"/>
    <w:tmpl w:val="2FF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5"/>
  </w:num>
  <w:num w:numId="13">
    <w:abstractNumId w:val="4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17956"/>
    <w:rsid w:val="00025A64"/>
    <w:rsid w:val="000311F7"/>
    <w:rsid w:val="00037D97"/>
    <w:rsid w:val="000849BA"/>
    <w:rsid w:val="000B48B3"/>
    <w:rsid w:val="000C31AC"/>
    <w:rsid w:val="000C74A6"/>
    <w:rsid w:val="000E4665"/>
    <w:rsid w:val="00102FE0"/>
    <w:rsid w:val="00151AA8"/>
    <w:rsid w:val="00154313"/>
    <w:rsid w:val="001A4B29"/>
    <w:rsid w:val="001B4D2C"/>
    <w:rsid w:val="001C3E12"/>
    <w:rsid w:val="0022059E"/>
    <w:rsid w:val="002320A2"/>
    <w:rsid w:val="00235EDC"/>
    <w:rsid w:val="00236138"/>
    <w:rsid w:val="002517B4"/>
    <w:rsid w:val="00264D4F"/>
    <w:rsid w:val="0027354C"/>
    <w:rsid w:val="002773F6"/>
    <w:rsid w:val="002B3F02"/>
    <w:rsid w:val="002E5815"/>
    <w:rsid w:val="002F36CA"/>
    <w:rsid w:val="002F56AC"/>
    <w:rsid w:val="00352BD8"/>
    <w:rsid w:val="003635DF"/>
    <w:rsid w:val="00373BB3"/>
    <w:rsid w:val="003B019D"/>
    <w:rsid w:val="003D035C"/>
    <w:rsid w:val="003E0C00"/>
    <w:rsid w:val="003F036D"/>
    <w:rsid w:val="00410E8A"/>
    <w:rsid w:val="0041706D"/>
    <w:rsid w:val="004772D1"/>
    <w:rsid w:val="004803BD"/>
    <w:rsid w:val="004F0E5B"/>
    <w:rsid w:val="00514DE9"/>
    <w:rsid w:val="00544F91"/>
    <w:rsid w:val="00561A66"/>
    <w:rsid w:val="00567DFD"/>
    <w:rsid w:val="00586590"/>
    <w:rsid w:val="005A268D"/>
    <w:rsid w:val="005B5855"/>
    <w:rsid w:val="005D4C04"/>
    <w:rsid w:val="006643CF"/>
    <w:rsid w:val="006761E2"/>
    <w:rsid w:val="006A6541"/>
    <w:rsid w:val="006D3B9A"/>
    <w:rsid w:val="006F7E63"/>
    <w:rsid w:val="007360EF"/>
    <w:rsid w:val="0074307F"/>
    <w:rsid w:val="00767A05"/>
    <w:rsid w:val="0077406E"/>
    <w:rsid w:val="007A065C"/>
    <w:rsid w:val="007E69A7"/>
    <w:rsid w:val="008012EC"/>
    <w:rsid w:val="00801419"/>
    <w:rsid w:val="00801B84"/>
    <w:rsid w:val="00807433"/>
    <w:rsid w:val="00825696"/>
    <w:rsid w:val="00836B9F"/>
    <w:rsid w:val="00855630"/>
    <w:rsid w:val="0086094A"/>
    <w:rsid w:val="00877077"/>
    <w:rsid w:val="008A2B9A"/>
    <w:rsid w:val="009152F5"/>
    <w:rsid w:val="0091600A"/>
    <w:rsid w:val="0092090B"/>
    <w:rsid w:val="0094087F"/>
    <w:rsid w:val="009732BC"/>
    <w:rsid w:val="009D59D1"/>
    <w:rsid w:val="00A2601B"/>
    <w:rsid w:val="00A72D72"/>
    <w:rsid w:val="00A96126"/>
    <w:rsid w:val="00B043F3"/>
    <w:rsid w:val="00B17DDF"/>
    <w:rsid w:val="00B40A2A"/>
    <w:rsid w:val="00B41BB0"/>
    <w:rsid w:val="00B42ABA"/>
    <w:rsid w:val="00B469F3"/>
    <w:rsid w:val="00B512C3"/>
    <w:rsid w:val="00B66BB7"/>
    <w:rsid w:val="00B85274"/>
    <w:rsid w:val="00BD3B50"/>
    <w:rsid w:val="00BF2314"/>
    <w:rsid w:val="00C32845"/>
    <w:rsid w:val="00C82546"/>
    <w:rsid w:val="00C9297B"/>
    <w:rsid w:val="00CF5385"/>
    <w:rsid w:val="00CF5894"/>
    <w:rsid w:val="00D24302"/>
    <w:rsid w:val="00D34245"/>
    <w:rsid w:val="00D45C0E"/>
    <w:rsid w:val="00D52063"/>
    <w:rsid w:val="00DA7F02"/>
    <w:rsid w:val="00E24461"/>
    <w:rsid w:val="00E40388"/>
    <w:rsid w:val="00E558FB"/>
    <w:rsid w:val="00E73E41"/>
    <w:rsid w:val="00E76E4E"/>
    <w:rsid w:val="00EC2636"/>
    <w:rsid w:val="00EC7499"/>
    <w:rsid w:val="00F542FE"/>
    <w:rsid w:val="00F6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204F-736E-4400-82AD-87362A68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2</cp:revision>
  <dcterms:created xsi:type="dcterms:W3CDTF">2013-07-30T01:27:00Z</dcterms:created>
  <dcterms:modified xsi:type="dcterms:W3CDTF">2013-07-30T01:27:00Z</dcterms:modified>
</cp:coreProperties>
</file>