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4DAC7" w14:textId="77777777" w:rsidR="00122A3A" w:rsidRPr="00DE6F80" w:rsidRDefault="00122A3A" w:rsidP="00C8418C">
      <w:pPr>
        <w:pStyle w:val="Default"/>
      </w:pPr>
    </w:p>
    <w:p w14:paraId="3AE9E866" w14:textId="77777777" w:rsidR="00122A3A" w:rsidRPr="00DE6F80" w:rsidRDefault="00122A3A" w:rsidP="00C8418C">
      <w:pPr>
        <w:pStyle w:val="Default"/>
        <w:rPr>
          <w:b/>
          <w:bCs/>
          <w:sz w:val="22"/>
          <w:szCs w:val="22"/>
        </w:rPr>
      </w:pPr>
    </w:p>
    <w:p w14:paraId="3A855E4E" w14:textId="77777777" w:rsidR="009C09E6" w:rsidRPr="00DE6F80" w:rsidRDefault="009C09E6" w:rsidP="00C8418C">
      <w:pPr>
        <w:pStyle w:val="Default"/>
        <w:rPr>
          <w:b/>
          <w:bCs/>
          <w:sz w:val="22"/>
          <w:szCs w:val="22"/>
        </w:rPr>
      </w:pPr>
    </w:p>
    <w:p w14:paraId="297FBA97" w14:textId="77777777" w:rsidR="00122A3A" w:rsidRPr="00DE6F80" w:rsidRDefault="00122A3A" w:rsidP="00C8418C">
      <w:pPr>
        <w:pStyle w:val="Default"/>
        <w:jc w:val="center"/>
        <w:rPr>
          <w:sz w:val="22"/>
          <w:szCs w:val="22"/>
        </w:rPr>
      </w:pPr>
      <w:r w:rsidRPr="00DE6F80">
        <w:rPr>
          <w:b/>
          <w:bCs/>
          <w:sz w:val="22"/>
          <w:szCs w:val="22"/>
        </w:rPr>
        <w:t>The Commission for the Conservation and Management of</w:t>
      </w:r>
    </w:p>
    <w:p w14:paraId="24260E0C" w14:textId="77777777" w:rsidR="00122A3A" w:rsidRPr="00DE6F80" w:rsidRDefault="00122A3A" w:rsidP="00C8418C">
      <w:pPr>
        <w:pStyle w:val="Default"/>
        <w:jc w:val="center"/>
        <w:rPr>
          <w:sz w:val="22"/>
          <w:szCs w:val="22"/>
        </w:rPr>
      </w:pPr>
      <w:r w:rsidRPr="00DE6F80">
        <w:rPr>
          <w:b/>
          <w:bCs/>
          <w:sz w:val="22"/>
          <w:szCs w:val="22"/>
        </w:rPr>
        <w:t>Highly Migratory Fish Stocks in the Western and Central Pacific Ocean</w:t>
      </w:r>
    </w:p>
    <w:p w14:paraId="62F59802" w14:textId="77777777" w:rsidR="00122A3A" w:rsidRPr="00DE6F80" w:rsidRDefault="00122A3A" w:rsidP="00C8418C">
      <w:pPr>
        <w:pStyle w:val="Default"/>
        <w:jc w:val="center"/>
        <w:rPr>
          <w:b/>
          <w:bCs/>
          <w:sz w:val="22"/>
          <w:szCs w:val="22"/>
        </w:rPr>
      </w:pPr>
    </w:p>
    <w:p w14:paraId="02D560AB" w14:textId="77777777" w:rsidR="00122A3A" w:rsidRPr="00DE6F80" w:rsidRDefault="00122A3A" w:rsidP="00C8418C">
      <w:pPr>
        <w:pStyle w:val="Default"/>
        <w:jc w:val="center"/>
        <w:rPr>
          <w:sz w:val="22"/>
          <w:szCs w:val="22"/>
        </w:rPr>
      </w:pPr>
      <w:r w:rsidRPr="00DE6F80">
        <w:rPr>
          <w:b/>
          <w:bCs/>
          <w:sz w:val="22"/>
          <w:szCs w:val="22"/>
        </w:rPr>
        <w:t>Scientific Committee</w:t>
      </w:r>
    </w:p>
    <w:p w14:paraId="4EEA2EBA" w14:textId="77777777" w:rsidR="00122A3A" w:rsidRPr="00DE6F80" w:rsidRDefault="000B307B" w:rsidP="00C8418C">
      <w:pPr>
        <w:pStyle w:val="Default"/>
        <w:jc w:val="center"/>
        <w:rPr>
          <w:sz w:val="22"/>
          <w:szCs w:val="22"/>
        </w:rPr>
      </w:pPr>
      <w:r>
        <w:rPr>
          <w:b/>
          <w:bCs/>
          <w:sz w:val="22"/>
          <w:szCs w:val="22"/>
        </w:rPr>
        <w:t>Nin</w:t>
      </w:r>
      <w:r w:rsidR="00122A3A" w:rsidRPr="00DE6F80">
        <w:rPr>
          <w:b/>
          <w:bCs/>
          <w:sz w:val="22"/>
          <w:szCs w:val="22"/>
        </w:rPr>
        <w:t>th Regular Session</w:t>
      </w:r>
    </w:p>
    <w:p w14:paraId="090F6EAB" w14:textId="77777777" w:rsidR="00122A3A" w:rsidRPr="00DE6F80" w:rsidRDefault="00122A3A" w:rsidP="00C8418C">
      <w:pPr>
        <w:pStyle w:val="Default"/>
        <w:jc w:val="center"/>
        <w:rPr>
          <w:b/>
          <w:bCs/>
          <w:sz w:val="22"/>
          <w:szCs w:val="22"/>
        </w:rPr>
      </w:pPr>
    </w:p>
    <w:p w14:paraId="3015391D" w14:textId="77777777" w:rsidR="00122A3A" w:rsidRPr="00DE6F80" w:rsidRDefault="000B307B" w:rsidP="00C8418C">
      <w:pPr>
        <w:pStyle w:val="Default"/>
        <w:jc w:val="center"/>
        <w:rPr>
          <w:sz w:val="22"/>
          <w:szCs w:val="22"/>
        </w:rPr>
      </w:pPr>
      <w:r>
        <w:rPr>
          <w:b/>
          <w:bCs/>
          <w:sz w:val="22"/>
          <w:szCs w:val="22"/>
        </w:rPr>
        <w:t>Pohnpei, Federated States of Micronesia</w:t>
      </w:r>
    </w:p>
    <w:p w14:paraId="393CE0B5" w14:textId="77777777" w:rsidR="00122A3A" w:rsidRPr="00DE6F80" w:rsidRDefault="000B307B" w:rsidP="00C8418C">
      <w:pPr>
        <w:pStyle w:val="Default"/>
        <w:jc w:val="center"/>
        <w:rPr>
          <w:sz w:val="22"/>
          <w:szCs w:val="22"/>
        </w:rPr>
      </w:pPr>
      <w:r>
        <w:rPr>
          <w:b/>
          <w:bCs/>
          <w:sz w:val="22"/>
          <w:szCs w:val="22"/>
        </w:rPr>
        <w:t>6</w:t>
      </w:r>
      <w:r w:rsidR="00122A3A" w:rsidRPr="00DE6F80">
        <w:rPr>
          <w:b/>
          <w:bCs/>
          <w:sz w:val="22"/>
          <w:szCs w:val="22"/>
        </w:rPr>
        <w:t>–</w:t>
      </w:r>
      <w:r>
        <w:rPr>
          <w:b/>
          <w:bCs/>
          <w:sz w:val="22"/>
          <w:szCs w:val="22"/>
        </w:rPr>
        <w:t>14</w:t>
      </w:r>
      <w:r w:rsidR="00122A3A" w:rsidRPr="00DE6F80">
        <w:rPr>
          <w:b/>
          <w:bCs/>
          <w:sz w:val="22"/>
          <w:szCs w:val="22"/>
        </w:rPr>
        <w:t xml:space="preserve"> August 20</w:t>
      </w:r>
      <w:r>
        <w:rPr>
          <w:b/>
          <w:bCs/>
          <w:sz w:val="22"/>
          <w:szCs w:val="22"/>
        </w:rPr>
        <w:t>13</w:t>
      </w:r>
    </w:p>
    <w:p w14:paraId="6F854B0E" w14:textId="77777777" w:rsidR="00122A3A" w:rsidRPr="00DE6F80" w:rsidRDefault="009C09E6" w:rsidP="00C8418C">
      <w:pPr>
        <w:pStyle w:val="Default"/>
        <w:jc w:val="center"/>
        <w:rPr>
          <w:b/>
          <w:bCs/>
          <w:sz w:val="22"/>
          <w:szCs w:val="22"/>
        </w:rPr>
      </w:pPr>
      <w:r w:rsidRPr="00DE6F80">
        <w:rPr>
          <w:b/>
          <w:bCs/>
          <w:noProof/>
          <w:sz w:val="22"/>
          <w:szCs w:val="22"/>
          <w:lang w:val="en-NZ" w:eastAsia="en-NZ"/>
        </w:rPr>
        <mc:AlternateContent>
          <mc:Choice Requires="wps">
            <w:drawing>
              <wp:anchor distT="0" distB="0" distL="114300" distR="114300" simplePos="0" relativeHeight="251659264" behindDoc="0" locked="0" layoutInCell="1" allowOverlap="1" wp14:anchorId="1188CF22" wp14:editId="487F039F">
                <wp:simplePos x="0" y="0"/>
                <wp:positionH relativeFrom="column">
                  <wp:posOffset>6824</wp:posOffset>
                </wp:positionH>
                <wp:positionV relativeFrom="paragraph">
                  <wp:posOffset>125171</wp:posOffset>
                </wp:positionV>
                <wp:extent cx="5676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676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4F7303"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9.85pt" to="447.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" strokecolor="black [3213]" strokeweight="1pt"/>
            </w:pict>
          </mc:Fallback>
        </mc:AlternateContent>
      </w:r>
    </w:p>
    <w:p w14:paraId="679D46FA" w14:textId="77777777" w:rsidR="00122A3A" w:rsidRPr="00DE6F80" w:rsidRDefault="00122A3A" w:rsidP="00C8418C">
      <w:pPr>
        <w:pStyle w:val="Default"/>
        <w:jc w:val="center"/>
        <w:rPr>
          <w:sz w:val="22"/>
          <w:szCs w:val="22"/>
        </w:rPr>
      </w:pPr>
      <w:r w:rsidRPr="00DE6F80">
        <w:rPr>
          <w:b/>
          <w:bCs/>
          <w:sz w:val="22"/>
          <w:szCs w:val="22"/>
        </w:rPr>
        <w:t>ANNUAL REPORT TO THE COMMISSION</w:t>
      </w:r>
    </w:p>
    <w:p w14:paraId="17B8DE6F" w14:textId="77777777" w:rsidR="00122A3A" w:rsidRPr="00DE6F80" w:rsidRDefault="00122A3A" w:rsidP="00C8418C">
      <w:pPr>
        <w:pStyle w:val="Default"/>
        <w:jc w:val="center"/>
        <w:rPr>
          <w:sz w:val="22"/>
          <w:szCs w:val="22"/>
        </w:rPr>
      </w:pPr>
      <w:r w:rsidRPr="00DE6F80">
        <w:rPr>
          <w:b/>
          <w:bCs/>
          <w:sz w:val="22"/>
          <w:szCs w:val="22"/>
        </w:rPr>
        <w:t>PART 1: INFORMATION ON FISHERIES, RESEARCH AND STATISTICS</w:t>
      </w:r>
    </w:p>
    <w:p w14:paraId="2A39F43C" w14:textId="77777777" w:rsidR="009C09E6" w:rsidRPr="00DE6F80" w:rsidRDefault="009C09E6" w:rsidP="00C8418C">
      <w:pPr>
        <w:pStyle w:val="Default"/>
        <w:rPr>
          <w:b/>
          <w:bCs/>
          <w:sz w:val="22"/>
          <w:szCs w:val="22"/>
        </w:rPr>
      </w:pPr>
      <w:r w:rsidRPr="00DE6F80">
        <w:rPr>
          <w:b/>
          <w:bCs/>
          <w:noProof/>
          <w:sz w:val="22"/>
          <w:szCs w:val="22"/>
          <w:lang w:val="en-NZ" w:eastAsia="en-NZ"/>
        </w:rPr>
        <mc:AlternateContent>
          <mc:Choice Requires="wps">
            <w:drawing>
              <wp:anchor distT="0" distB="0" distL="114300" distR="114300" simplePos="0" relativeHeight="251661312" behindDoc="0" locked="0" layoutInCell="1" allowOverlap="1" wp14:anchorId="4BBAD469" wp14:editId="59739E54">
                <wp:simplePos x="0" y="0"/>
                <wp:positionH relativeFrom="column">
                  <wp:posOffset>49530</wp:posOffset>
                </wp:positionH>
                <wp:positionV relativeFrom="paragraph">
                  <wp:posOffset>13335</wp:posOffset>
                </wp:positionV>
                <wp:extent cx="567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676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2F952A"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pt,1.05pt" to="450.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" strokecolor="black [3213]" strokeweight="1pt"/>
            </w:pict>
          </mc:Fallback>
        </mc:AlternateContent>
      </w:r>
    </w:p>
    <w:p w14:paraId="0C5B6636" w14:textId="77777777" w:rsidR="009C09E6" w:rsidRDefault="009C09E6" w:rsidP="00C8418C">
      <w:pPr>
        <w:pStyle w:val="Default"/>
        <w:jc w:val="center"/>
        <w:rPr>
          <w:sz w:val="22"/>
          <w:szCs w:val="22"/>
        </w:rPr>
      </w:pPr>
    </w:p>
    <w:p w14:paraId="296CD2E0" w14:textId="77777777" w:rsidR="000B307B" w:rsidRDefault="000B307B" w:rsidP="00C8418C">
      <w:pPr>
        <w:pStyle w:val="Default"/>
        <w:jc w:val="center"/>
        <w:rPr>
          <w:sz w:val="22"/>
          <w:szCs w:val="22"/>
        </w:rPr>
      </w:pPr>
    </w:p>
    <w:p w14:paraId="4EE2AA20" w14:textId="77777777" w:rsidR="009C09E6" w:rsidRDefault="009C09E6" w:rsidP="00C8418C">
      <w:pPr>
        <w:pStyle w:val="Default"/>
        <w:rPr>
          <w:b/>
          <w:bCs/>
          <w:sz w:val="22"/>
          <w:szCs w:val="22"/>
        </w:rPr>
      </w:pPr>
    </w:p>
    <w:p w14:paraId="68A563CA" w14:textId="77777777" w:rsidR="000B307B" w:rsidRDefault="000B307B" w:rsidP="00C8418C">
      <w:pPr>
        <w:pStyle w:val="Default"/>
        <w:rPr>
          <w:b/>
          <w:bCs/>
          <w:sz w:val="22"/>
          <w:szCs w:val="22"/>
        </w:rPr>
      </w:pPr>
    </w:p>
    <w:p w14:paraId="2BF2383E" w14:textId="77777777" w:rsidR="000B307B" w:rsidRDefault="000B307B" w:rsidP="00C8418C">
      <w:pPr>
        <w:pStyle w:val="Default"/>
        <w:rPr>
          <w:b/>
          <w:bCs/>
          <w:sz w:val="22"/>
          <w:szCs w:val="22"/>
        </w:rPr>
      </w:pPr>
    </w:p>
    <w:p w14:paraId="06645FAB" w14:textId="77777777" w:rsidR="009C09E6" w:rsidRDefault="009C09E6" w:rsidP="00C8418C">
      <w:pPr>
        <w:pStyle w:val="Default"/>
        <w:rPr>
          <w:sz w:val="22"/>
          <w:szCs w:val="22"/>
        </w:rPr>
      </w:pPr>
    </w:p>
    <w:p w14:paraId="53B6DEFD" w14:textId="77777777" w:rsidR="000B307B" w:rsidRPr="000B307B" w:rsidRDefault="000B307B" w:rsidP="000B307B">
      <w:pPr>
        <w:pStyle w:val="Default"/>
        <w:jc w:val="center"/>
        <w:rPr>
          <w:b/>
          <w:sz w:val="28"/>
          <w:szCs w:val="28"/>
        </w:rPr>
      </w:pPr>
      <w:r w:rsidRPr="000B307B">
        <w:rPr>
          <w:b/>
          <w:sz w:val="28"/>
          <w:szCs w:val="28"/>
        </w:rPr>
        <w:t>TOKELAU</w:t>
      </w:r>
    </w:p>
    <w:p w14:paraId="29956EC5" w14:textId="77777777" w:rsidR="000B307B" w:rsidRDefault="000B307B" w:rsidP="00C8418C">
      <w:pPr>
        <w:pStyle w:val="Default"/>
        <w:rPr>
          <w:sz w:val="22"/>
          <w:szCs w:val="22"/>
        </w:rPr>
      </w:pPr>
    </w:p>
    <w:p w14:paraId="64C753C1" w14:textId="77777777" w:rsidR="000B307B" w:rsidRDefault="000B307B" w:rsidP="00C8418C">
      <w:pPr>
        <w:pStyle w:val="Default"/>
        <w:rPr>
          <w:sz w:val="22"/>
          <w:szCs w:val="22"/>
        </w:rPr>
      </w:pPr>
    </w:p>
    <w:p w14:paraId="4DE50B4C" w14:textId="77777777" w:rsidR="000B307B" w:rsidRDefault="000B307B" w:rsidP="00C8418C">
      <w:pPr>
        <w:pStyle w:val="Default"/>
        <w:rPr>
          <w:sz w:val="22"/>
          <w:szCs w:val="22"/>
        </w:rPr>
      </w:pPr>
    </w:p>
    <w:p w14:paraId="66EF49EF" w14:textId="77777777" w:rsidR="000B307B" w:rsidRDefault="000B307B" w:rsidP="00C8418C">
      <w:pPr>
        <w:pStyle w:val="Default"/>
        <w:rPr>
          <w:sz w:val="22"/>
          <w:szCs w:val="22"/>
        </w:rPr>
      </w:pPr>
    </w:p>
    <w:p w14:paraId="04F4422D" w14:textId="77777777" w:rsidR="000B307B" w:rsidRDefault="000B307B" w:rsidP="00C8418C">
      <w:pPr>
        <w:pStyle w:val="Default"/>
        <w:rPr>
          <w:sz w:val="22"/>
          <w:szCs w:val="22"/>
        </w:rPr>
      </w:pPr>
    </w:p>
    <w:p w14:paraId="299B5E7D" w14:textId="77777777" w:rsidR="000B307B" w:rsidRDefault="000B307B" w:rsidP="00C8418C">
      <w:pPr>
        <w:pStyle w:val="Default"/>
        <w:rPr>
          <w:sz w:val="22"/>
          <w:szCs w:val="22"/>
        </w:rPr>
      </w:pPr>
    </w:p>
    <w:p w14:paraId="4884A658" w14:textId="77777777" w:rsidR="000B307B" w:rsidRDefault="000B307B" w:rsidP="00C8418C">
      <w:pPr>
        <w:pStyle w:val="Default"/>
        <w:rPr>
          <w:sz w:val="22"/>
          <w:szCs w:val="22"/>
        </w:rPr>
      </w:pPr>
    </w:p>
    <w:p w14:paraId="23EE5C01" w14:textId="77777777" w:rsidR="000B307B" w:rsidRDefault="000B307B" w:rsidP="00C8418C">
      <w:pPr>
        <w:pStyle w:val="Default"/>
        <w:rPr>
          <w:sz w:val="22"/>
          <w:szCs w:val="22"/>
        </w:rPr>
      </w:pPr>
    </w:p>
    <w:p w14:paraId="0A4C6AA2" w14:textId="77777777" w:rsidR="000B307B" w:rsidRDefault="000B307B" w:rsidP="00C8418C">
      <w:pPr>
        <w:pStyle w:val="Default"/>
        <w:rPr>
          <w:sz w:val="22"/>
          <w:szCs w:val="22"/>
        </w:rPr>
      </w:pPr>
    </w:p>
    <w:p w14:paraId="30A37B48" w14:textId="77777777" w:rsidR="000B307B" w:rsidRDefault="000B307B" w:rsidP="00C8418C">
      <w:pPr>
        <w:pStyle w:val="Default"/>
        <w:rPr>
          <w:sz w:val="22"/>
          <w:szCs w:val="22"/>
        </w:rPr>
      </w:pPr>
    </w:p>
    <w:p w14:paraId="0ABD3600" w14:textId="77777777" w:rsidR="000B307B" w:rsidRDefault="000B307B" w:rsidP="00C8418C">
      <w:pPr>
        <w:pStyle w:val="Default"/>
        <w:rPr>
          <w:sz w:val="22"/>
          <w:szCs w:val="22"/>
        </w:rPr>
      </w:pPr>
    </w:p>
    <w:p w14:paraId="17CD645C" w14:textId="77777777" w:rsidR="000B307B" w:rsidRDefault="000B307B" w:rsidP="00C8418C">
      <w:pPr>
        <w:pStyle w:val="Default"/>
        <w:rPr>
          <w:sz w:val="22"/>
          <w:szCs w:val="22"/>
        </w:rPr>
      </w:pPr>
    </w:p>
    <w:p w14:paraId="3D8FE667" w14:textId="77777777" w:rsidR="000B307B" w:rsidRDefault="000B307B" w:rsidP="00C8418C">
      <w:pPr>
        <w:pStyle w:val="Default"/>
        <w:rPr>
          <w:sz w:val="22"/>
          <w:szCs w:val="22"/>
        </w:rPr>
      </w:pPr>
    </w:p>
    <w:p w14:paraId="5486D41C" w14:textId="77777777" w:rsidR="000B307B" w:rsidRDefault="000B307B" w:rsidP="00C8418C">
      <w:pPr>
        <w:pStyle w:val="Default"/>
        <w:rPr>
          <w:sz w:val="22"/>
          <w:szCs w:val="22"/>
        </w:rPr>
      </w:pPr>
    </w:p>
    <w:p w14:paraId="53841614" w14:textId="77777777" w:rsidR="000B307B" w:rsidRDefault="000B307B" w:rsidP="00C8418C">
      <w:pPr>
        <w:pStyle w:val="Default"/>
        <w:rPr>
          <w:sz w:val="22"/>
          <w:szCs w:val="22"/>
        </w:rPr>
      </w:pPr>
    </w:p>
    <w:p w14:paraId="0D4FEA4A" w14:textId="77777777" w:rsidR="000B307B" w:rsidRDefault="000B307B" w:rsidP="00C8418C">
      <w:pPr>
        <w:pStyle w:val="Default"/>
        <w:rPr>
          <w:sz w:val="22"/>
          <w:szCs w:val="22"/>
        </w:rPr>
      </w:pPr>
    </w:p>
    <w:p w14:paraId="4DDBD75F" w14:textId="77777777" w:rsidR="000B307B" w:rsidRPr="00DE6F80" w:rsidRDefault="000B307B" w:rsidP="00C8418C">
      <w:pPr>
        <w:pStyle w:val="Default"/>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78"/>
      </w:tblGrid>
      <w:tr w:rsidR="00122A3A" w:rsidRPr="00DE6F80" w14:paraId="312C216D" w14:textId="77777777" w:rsidTr="009C09E6">
        <w:trPr>
          <w:trHeight w:val="479"/>
        </w:trPr>
        <w:tc>
          <w:tcPr>
            <w:tcW w:w="4644" w:type="dxa"/>
          </w:tcPr>
          <w:p w14:paraId="05E24416" w14:textId="77777777" w:rsidR="00122A3A" w:rsidRPr="00DE6F80" w:rsidRDefault="009C09E6" w:rsidP="00C8418C">
            <w:pPr>
              <w:pStyle w:val="Default"/>
              <w:rPr>
                <w:sz w:val="22"/>
                <w:szCs w:val="22"/>
              </w:rPr>
            </w:pPr>
            <w:r w:rsidRPr="00DE6F80">
              <w:rPr>
                <w:sz w:val="22"/>
                <w:szCs w:val="22"/>
              </w:rPr>
              <w:t>Scientific data was provided to the Commission in accordance with the decision relating to the provision of scientific data to the Commission by 30 April 2xxx</w:t>
            </w:r>
            <w:r w:rsidR="00122A3A" w:rsidRPr="00DE6F80">
              <w:rPr>
                <w:b/>
                <w:bCs/>
                <w:sz w:val="22"/>
                <w:szCs w:val="22"/>
              </w:rPr>
              <w:t xml:space="preserve"> </w:t>
            </w:r>
          </w:p>
        </w:tc>
        <w:tc>
          <w:tcPr>
            <w:tcW w:w="4678" w:type="dxa"/>
          </w:tcPr>
          <w:p w14:paraId="545ABB09" w14:textId="77777777" w:rsidR="009C09E6" w:rsidRPr="00DE6F80" w:rsidRDefault="009C09E6" w:rsidP="00C8418C">
            <w:pPr>
              <w:pStyle w:val="Default"/>
              <w:rPr>
                <w:sz w:val="22"/>
                <w:szCs w:val="22"/>
              </w:rPr>
            </w:pPr>
          </w:p>
          <w:p w14:paraId="37C62734" w14:textId="77777777" w:rsidR="009C09E6" w:rsidRPr="00DE6F80" w:rsidRDefault="000B307B" w:rsidP="00C8418C">
            <w:pPr>
              <w:pStyle w:val="Default"/>
              <w:jc w:val="center"/>
              <w:rPr>
                <w:sz w:val="22"/>
                <w:szCs w:val="22"/>
              </w:rPr>
            </w:pPr>
            <w:r>
              <w:rPr>
                <w:sz w:val="22"/>
                <w:szCs w:val="22"/>
              </w:rPr>
              <w:t>Yes</w:t>
            </w:r>
          </w:p>
          <w:p w14:paraId="47DAD50D" w14:textId="77777777" w:rsidR="009C09E6" w:rsidRPr="00DE6F80" w:rsidRDefault="009C09E6" w:rsidP="00C8418C">
            <w:pPr>
              <w:pStyle w:val="Default"/>
              <w:rPr>
                <w:sz w:val="22"/>
                <w:szCs w:val="22"/>
              </w:rPr>
            </w:pPr>
          </w:p>
        </w:tc>
      </w:tr>
      <w:tr w:rsidR="00122A3A" w:rsidRPr="00DE6F80" w14:paraId="0707DE91" w14:textId="77777777" w:rsidTr="009C09E6">
        <w:trPr>
          <w:trHeight w:val="100"/>
        </w:trPr>
        <w:tc>
          <w:tcPr>
            <w:tcW w:w="9322" w:type="dxa"/>
            <w:gridSpan w:val="2"/>
          </w:tcPr>
          <w:p w14:paraId="050B13F0" w14:textId="77777777" w:rsidR="00122A3A" w:rsidRPr="00DE6F80" w:rsidRDefault="00122A3A" w:rsidP="00C8418C">
            <w:pPr>
              <w:pStyle w:val="Default"/>
              <w:rPr>
                <w:sz w:val="22"/>
                <w:szCs w:val="22"/>
              </w:rPr>
            </w:pPr>
            <w:r w:rsidRPr="00DE6F80">
              <w:rPr>
                <w:sz w:val="22"/>
                <w:szCs w:val="22"/>
              </w:rPr>
              <w:t xml:space="preserve">If no, please indicate the reason(s) and intended actions: </w:t>
            </w:r>
          </w:p>
          <w:p w14:paraId="1508A0A7" w14:textId="77777777" w:rsidR="009C09E6" w:rsidRPr="00DE6F80" w:rsidRDefault="009C09E6" w:rsidP="00C8418C">
            <w:pPr>
              <w:pStyle w:val="Default"/>
              <w:rPr>
                <w:sz w:val="22"/>
                <w:szCs w:val="22"/>
              </w:rPr>
            </w:pPr>
          </w:p>
        </w:tc>
      </w:tr>
    </w:tbl>
    <w:p w14:paraId="53F2277B" w14:textId="77777777" w:rsidR="000B307B" w:rsidRDefault="000B307B" w:rsidP="00C8418C">
      <w:pPr>
        <w:pStyle w:val="Default"/>
      </w:pPr>
    </w:p>
    <w:p w14:paraId="0BE18C7A" w14:textId="77777777" w:rsidR="000B307B" w:rsidRDefault="000B307B">
      <w:pPr>
        <w:rPr>
          <w:rFonts w:ascii="Times New Roman" w:hAnsi="Times New Roman" w:cs="Times New Roman"/>
          <w:color w:val="000000"/>
          <w:sz w:val="24"/>
          <w:szCs w:val="24"/>
        </w:rPr>
      </w:pPr>
      <w:r>
        <w:br w:type="page"/>
      </w:r>
    </w:p>
    <w:p w14:paraId="66D6E249" w14:textId="77777777" w:rsidR="00122A3A" w:rsidRPr="000F4FB9" w:rsidRDefault="000B307B" w:rsidP="000F4FB9">
      <w:pPr>
        <w:pStyle w:val="Default"/>
        <w:shd w:val="clear" w:color="auto" w:fill="E5DFEC" w:themeFill="accent4" w:themeFillTint="33"/>
        <w:rPr>
          <w:b/>
          <w:bCs/>
          <w:sz w:val="22"/>
          <w:szCs w:val="22"/>
        </w:rPr>
      </w:pPr>
      <w:r w:rsidRPr="000F4FB9">
        <w:rPr>
          <w:b/>
          <w:bCs/>
          <w:sz w:val="22"/>
          <w:szCs w:val="22"/>
        </w:rPr>
        <w:lastRenderedPageBreak/>
        <w:t>A</w:t>
      </w:r>
      <w:r w:rsidR="00E04472">
        <w:rPr>
          <w:b/>
          <w:bCs/>
          <w:sz w:val="22"/>
          <w:szCs w:val="22"/>
        </w:rPr>
        <w:t>BSTRACT</w:t>
      </w:r>
    </w:p>
    <w:p w14:paraId="2932B42D" w14:textId="77777777" w:rsidR="00F03AD7" w:rsidRDefault="00F03AD7" w:rsidP="00F03AD7">
      <w:pPr>
        <w:pStyle w:val="NoSpacing"/>
      </w:pPr>
    </w:p>
    <w:p w14:paraId="3477C842" w14:textId="63BD2DEA" w:rsidR="00F03AD7" w:rsidRPr="00F03AD7" w:rsidRDefault="00F03AD7" w:rsidP="00F03AD7">
      <w:pPr>
        <w:pStyle w:val="NoSpacing"/>
        <w:rPr>
          <w:rFonts w:ascii="Times New Roman" w:hAnsi="Times New Roman"/>
          <w:sz w:val="24"/>
          <w:szCs w:val="24"/>
        </w:rPr>
      </w:pPr>
      <w:r w:rsidRPr="00F03AD7">
        <w:rPr>
          <w:rFonts w:ascii="Times New Roman" w:hAnsi="Times New Roman"/>
          <w:sz w:val="24"/>
          <w:szCs w:val="24"/>
        </w:rPr>
        <w:t xml:space="preserve">Tokelau is taking its obligations and responsibilities under the WCPFC convention very seriously, and </w:t>
      </w:r>
      <w:r>
        <w:rPr>
          <w:rFonts w:ascii="Times New Roman" w:hAnsi="Times New Roman"/>
          <w:sz w:val="24"/>
          <w:szCs w:val="24"/>
        </w:rPr>
        <w:t xml:space="preserve">is </w:t>
      </w:r>
      <w:r w:rsidRPr="00F03AD7">
        <w:rPr>
          <w:rFonts w:ascii="Times New Roman" w:hAnsi="Times New Roman"/>
          <w:sz w:val="24"/>
          <w:szCs w:val="24"/>
        </w:rPr>
        <w:t xml:space="preserve">developing its tuna management capacities. These include strengthening the capacities of the fisheries personnel, </w:t>
      </w:r>
      <w:r>
        <w:rPr>
          <w:rFonts w:ascii="Times New Roman" w:hAnsi="Times New Roman"/>
          <w:sz w:val="24"/>
          <w:szCs w:val="24"/>
        </w:rPr>
        <w:t>implementing its</w:t>
      </w:r>
      <w:r w:rsidRPr="00F03AD7">
        <w:rPr>
          <w:rFonts w:ascii="Times New Roman" w:hAnsi="Times New Roman"/>
          <w:sz w:val="24"/>
          <w:szCs w:val="24"/>
        </w:rPr>
        <w:t xml:space="preserve"> Offshore Fisheries Management Plan, strengthening the legal framework relating to the management of the Tokelau EEZ, establishing a statistical database and implementing systems to manage zone-based limits of our EEZ fisheries. We </w:t>
      </w:r>
      <w:r w:rsidR="00CB222F">
        <w:rPr>
          <w:rFonts w:ascii="Times New Roman" w:hAnsi="Times New Roman"/>
          <w:sz w:val="24"/>
          <w:szCs w:val="24"/>
        </w:rPr>
        <w:t xml:space="preserve">are committed </w:t>
      </w:r>
      <w:r w:rsidRPr="00F03AD7">
        <w:rPr>
          <w:rFonts w:ascii="Times New Roman" w:hAnsi="Times New Roman"/>
          <w:sz w:val="24"/>
          <w:szCs w:val="24"/>
        </w:rPr>
        <w:t>to develop</w:t>
      </w:r>
      <w:r w:rsidR="00CB222F">
        <w:rPr>
          <w:rFonts w:ascii="Times New Roman" w:hAnsi="Times New Roman"/>
          <w:sz w:val="24"/>
          <w:szCs w:val="24"/>
        </w:rPr>
        <w:t>ing and managing</w:t>
      </w:r>
      <w:r w:rsidRPr="00F03AD7">
        <w:rPr>
          <w:rFonts w:ascii="Times New Roman" w:hAnsi="Times New Roman"/>
          <w:sz w:val="24"/>
          <w:szCs w:val="24"/>
        </w:rPr>
        <w:t xml:space="preserve"> the two elements of tuna fisheries in Tokelau</w:t>
      </w:r>
      <w:r w:rsidR="00CB222F">
        <w:rPr>
          <w:rFonts w:ascii="Times New Roman" w:hAnsi="Times New Roman"/>
          <w:sz w:val="24"/>
          <w:szCs w:val="24"/>
        </w:rPr>
        <w:t>,</w:t>
      </w:r>
      <w:r w:rsidRPr="00F03AD7">
        <w:rPr>
          <w:rFonts w:ascii="Times New Roman" w:hAnsi="Times New Roman"/>
          <w:sz w:val="24"/>
          <w:szCs w:val="24"/>
        </w:rPr>
        <w:t xml:space="preserve"> namely the National Artisanal Tuna Fishery and the Foreign Purse seine and Long-line fishery.</w:t>
      </w:r>
    </w:p>
    <w:p w14:paraId="724A5853" w14:textId="77777777" w:rsidR="00F03AD7" w:rsidRPr="00F03AD7" w:rsidRDefault="00F03AD7" w:rsidP="00F03AD7">
      <w:pPr>
        <w:pStyle w:val="NoSpacing"/>
        <w:rPr>
          <w:rFonts w:ascii="Times New Roman" w:hAnsi="Times New Roman"/>
          <w:sz w:val="24"/>
          <w:szCs w:val="24"/>
        </w:rPr>
      </w:pPr>
    </w:p>
    <w:p w14:paraId="292B6BE1" w14:textId="4A8333B3" w:rsidR="00F03AD7" w:rsidRPr="00F03AD7" w:rsidRDefault="00F03AD7" w:rsidP="00F03AD7">
      <w:pPr>
        <w:pStyle w:val="NoSpacing"/>
        <w:rPr>
          <w:rFonts w:ascii="Times New Roman" w:hAnsi="Times New Roman"/>
          <w:sz w:val="24"/>
          <w:szCs w:val="24"/>
        </w:rPr>
      </w:pPr>
      <w:r w:rsidRPr="00F03AD7">
        <w:rPr>
          <w:rFonts w:ascii="Times New Roman" w:hAnsi="Times New Roman"/>
          <w:sz w:val="24"/>
          <w:szCs w:val="24"/>
        </w:rPr>
        <w:t>Historically, Tokelau has been licensing Purse seiners under the US Tuna Treaty and New Zealand through a bilateral agreement</w:t>
      </w:r>
      <w:r>
        <w:rPr>
          <w:rFonts w:ascii="Times New Roman" w:hAnsi="Times New Roman"/>
          <w:sz w:val="24"/>
          <w:szCs w:val="24"/>
        </w:rPr>
        <w:t xml:space="preserve">. More </w:t>
      </w:r>
      <w:r w:rsidRPr="00F03AD7">
        <w:rPr>
          <w:rFonts w:ascii="Times New Roman" w:hAnsi="Times New Roman"/>
          <w:sz w:val="24"/>
          <w:szCs w:val="24"/>
        </w:rPr>
        <w:t>recently</w:t>
      </w:r>
      <w:r>
        <w:rPr>
          <w:rFonts w:ascii="Times New Roman" w:hAnsi="Times New Roman"/>
          <w:sz w:val="24"/>
          <w:szCs w:val="24"/>
        </w:rPr>
        <w:t xml:space="preserve"> </w:t>
      </w:r>
      <w:r w:rsidRPr="00F03AD7">
        <w:rPr>
          <w:rFonts w:ascii="Times New Roman" w:hAnsi="Times New Roman"/>
          <w:sz w:val="24"/>
          <w:szCs w:val="24"/>
        </w:rPr>
        <w:t>ot</w:t>
      </w:r>
      <w:r>
        <w:rPr>
          <w:rFonts w:ascii="Times New Roman" w:hAnsi="Times New Roman"/>
          <w:sz w:val="24"/>
          <w:szCs w:val="24"/>
        </w:rPr>
        <w:t>her parties h</w:t>
      </w:r>
      <w:r w:rsidR="009200BD">
        <w:rPr>
          <w:rFonts w:ascii="Times New Roman" w:hAnsi="Times New Roman"/>
          <w:sz w:val="24"/>
          <w:szCs w:val="24"/>
        </w:rPr>
        <w:t>ave emerged resulting in new bilateral agreements</w:t>
      </w:r>
      <w:r w:rsidRPr="00F03AD7">
        <w:rPr>
          <w:rFonts w:ascii="Times New Roman" w:hAnsi="Times New Roman"/>
          <w:sz w:val="24"/>
          <w:szCs w:val="24"/>
        </w:rPr>
        <w:t xml:space="preserve">. Log-sheet data </w:t>
      </w:r>
      <w:r w:rsidR="009200BD">
        <w:rPr>
          <w:rFonts w:ascii="Times New Roman" w:hAnsi="Times New Roman"/>
          <w:sz w:val="24"/>
          <w:szCs w:val="24"/>
        </w:rPr>
        <w:t xml:space="preserve">for </w:t>
      </w:r>
      <w:r w:rsidRPr="00F03AD7">
        <w:rPr>
          <w:rFonts w:ascii="Times New Roman" w:hAnsi="Times New Roman"/>
          <w:sz w:val="24"/>
          <w:szCs w:val="24"/>
        </w:rPr>
        <w:t xml:space="preserve">all purse seine vessels </w:t>
      </w:r>
      <w:r w:rsidR="009200BD">
        <w:rPr>
          <w:rFonts w:ascii="Times New Roman" w:hAnsi="Times New Roman"/>
          <w:sz w:val="24"/>
          <w:szCs w:val="24"/>
        </w:rPr>
        <w:t>that have</w:t>
      </w:r>
      <w:r w:rsidRPr="00F03AD7">
        <w:rPr>
          <w:rFonts w:ascii="Times New Roman" w:hAnsi="Times New Roman"/>
          <w:sz w:val="24"/>
          <w:szCs w:val="24"/>
        </w:rPr>
        <w:t xml:space="preserve"> fished in Tokelau waters are available at SPC</w:t>
      </w:r>
    </w:p>
    <w:p w14:paraId="01D656CE" w14:textId="77777777" w:rsidR="00F03AD7" w:rsidRPr="00F03AD7" w:rsidRDefault="00F03AD7" w:rsidP="00F03AD7">
      <w:pPr>
        <w:pStyle w:val="NoSpacing"/>
        <w:rPr>
          <w:rFonts w:ascii="Times New Roman" w:hAnsi="Times New Roman"/>
          <w:sz w:val="24"/>
          <w:szCs w:val="24"/>
        </w:rPr>
      </w:pPr>
    </w:p>
    <w:p w14:paraId="16CCDBEE" w14:textId="1195B6F4" w:rsidR="00F03AD7" w:rsidRPr="00F03AD7" w:rsidRDefault="00F03AD7" w:rsidP="00F03AD7">
      <w:pPr>
        <w:pStyle w:val="NoSpacing"/>
        <w:rPr>
          <w:rFonts w:ascii="Times New Roman" w:hAnsi="Times New Roman"/>
          <w:sz w:val="24"/>
          <w:szCs w:val="24"/>
        </w:rPr>
      </w:pPr>
      <w:r w:rsidRPr="00F03AD7">
        <w:rPr>
          <w:rFonts w:ascii="Times New Roman" w:hAnsi="Times New Roman"/>
          <w:sz w:val="24"/>
          <w:szCs w:val="24"/>
        </w:rPr>
        <w:t>Due to lack of</w:t>
      </w:r>
      <w:r>
        <w:rPr>
          <w:rFonts w:ascii="Times New Roman" w:hAnsi="Times New Roman"/>
          <w:sz w:val="24"/>
          <w:szCs w:val="24"/>
        </w:rPr>
        <w:t xml:space="preserve"> capacity and resour</w:t>
      </w:r>
      <w:r w:rsidRPr="00F03AD7">
        <w:rPr>
          <w:rFonts w:ascii="Times New Roman" w:hAnsi="Times New Roman"/>
          <w:sz w:val="24"/>
          <w:szCs w:val="24"/>
        </w:rPr>
        <w:t>ces both h</w:t>
      </w:r>
      <w:r w:rsidR="00CB222F">
        <w:rPr>
          <w:rFonts w:ascii="Times New Roman" w:hAnsi="Times New Roman"/>
          <w:sz w:val="24"/>
          <w:szCs w:val="24"/>
        </w:rPr>
        <w:t>uman and financial, Tokelau has not alwys</w:t>
      </w:r>
      <w:r w:rsidRPr="00F03AD7">
        <w:rPr>
          <w:rFonts w:ascii="Times New Roman" w:hAnsi="Times New Roman"/>
          <w:sz w:val="24"/>
          <w:szCs w:val="24"/>
        </w:rPr>
        <w:t xml:space="preserve"> been able to obtain all log-sheet data for fo</w:t>
      </w:r>
      <w:r w:rsidR="00CB222F">
        <w:rPr>
          <w:rFonts w:ascii="Times New Roman" w:hAnsi="Times New Roman"/>
          <w:sz w:val="24"/>
          <w:szCs w:val="24"/>
        </w:rPr>
        <w:t>reign long-liners</w:t>
      </w:r>
      <w:r w:rsidRPr="00F03AD7">
        <w:rPr>
          <w:rFonts w:ascii="Times New Roman" w:hAnsi="Times New Roman"/>
          <w:sz w:val="24"/>
          <w:szCs w:val="24"/>
        </w:rPr>
        <w:t xml:space="preserve"> licensed to fish in Tokelau waters. However, with our new license conditions, reporting requirements and obligations by li</w:t>
      </w:r>
      <w:r w:rsidR="009200BD">
        <w:rPr>
          <w:rFonts w:ascii="Times New Roman" w:hAnsi="Times New Roman"/>
          <w:sz w:val="24"/>
          <w:szCs w:val="24"/>
        </w:rPr>
        <w:t>censed vessels in Tokelau’s EEZ should now improve</w:t>
      </w:r>
      <w:r w:rsidRPr="00F03AD7">
        <w:rPr>
          <w:rFonts w:ascii="Times New Roman" w:hAnsi="Times New Roman"/>
          <w:sz w:val="24"/>
          <w:szCs w:val="24"/>
        </w:rPr>
        <w:t xml:space="preserve">. </w:t>
      </w:r>
    </w:p>
    <w:p w14:paraId="4C1DEAB1" w14:textId="77777777" w:rsidR="00F03AD7" w:rsidRPr="00F03AD7" w:rsidRDefault="00F03AD7" w:rsidP="00F03AD7">
      <w:pPr>
        <w:pStyle w:val="NoSpacing"/>
        <w:rPr>
          <w:rFonts w:ascii="Times New Roman" w:hAnsi="Times New Roman"/>
          <w:sz w:val="24"/>
          <w:szCs w:val="24"/>
        </w:rPr>
      </w:pPr>
    </w:p>
    <w:p w14:paraId="32C15FBE" w14:textId="6E2F3117" w:rsidR="00F03AD7" w:rsidRPr="00F03AD7" w:rsidRDefault="00F03AD7" w:rsidP="00F03AD7">
      <w:pPr>
        <w:pStyle w:val="NoSpacing"/>
        <w:rPr>
          <w:rFonts w:ascii="Times New Roman" w:hAnsi="Times New Roman"/>
          <w:sz w:val="24"/>
          <w:szCs w:val="24"/>
        </w:rPr>
      </w:pPr>
      <w:r w:rsidRPr="00F03AD7">
        <w:rPr>
          <w:rFonts w:ascii="Times New Roman" w:hAnsi="Times New Roman"/>
          <w:sz w:val="24"/>
          <w:szCs w:val="24"/>
        </w:rPr>
        <w:t xml:space="preserve">There has been an increase in the catches in the last </w:t>
      </w:r>
      <w:r w:rsidR="009200BD">
        <w:rPr>
          <w:rFonts w:ascii="Times New Roman" w:hAnsi="Times New Roman"/>
          <w:sz w:val="24"/>
          <w:szCs w:val="24"/>
        </w:rPr>
        <w:t>few</w:t>
      </w:r>
      <w:r w:rsidRPr="00F03AD7">
        <w:rPr>
          <w:rFonts w:ascii="Times New Roman" w:hAnsi="Times New Roman"/>
          <w:sz w:val="24"/>
          <w:szCs w:val="24"/>
        </w:rPr>
        <w:t xml:space="preserve"> years </w:t>
      </w:r>
      <w:r w:rsidR="00CB222F">
        <w:rPr>
          <w:rFonts w:ascii="Times New Roman" w:hAnsi="Times New Roman"/>
          <w:sz w:val="24"/>
          <w:szCs w:val="24"/>
        </w:rPr>
        <w:t xml:space="preserve">and it </w:t>
      </w:r>
      <w:r w:rsidRPr="00F03AD7">
        <w:rPr>
          <w:rFonts w:ascii="Times New Roman" w:hAnsi="Times New Roman"/>
          <w:sz w:val="24"/>
          <w:szCs w:val="24"/>
        </w:rPr>
        <w:t xml:space="preserve">could mainly </w:t>
      </w:r>
      <w:r w:rsidR="009200BD">
        <w:rPr>
          <w:rFonts w:ascii="Times New Roman" w:hAnsi="Times New Roman"/>
          <w:sz w:val="24"/>
          <w:szCs w:val="24"/>
        </w:rPr>
        <w:t xml:space="preserve">be </w:t>
      </w:r>
      <w:r w:rsidRPr="00F03AD7">
        <w:rPr>
          <w:rFonts w:ascii="Times New Roman" w:hAnsi="Times New Roman"/>
          <w:sz w:val="24"/>
          <w:szCs w:val="24"/>
        </w:rPr>
        <w:t>due to the El Nino climatic phenomena around this region during those years</w:t>
      </w:r>
      <w:r w:rsidR="009200BD">
        <w:rPr>
          <w:rFonts w:ascii="Times New Roman" w:hAnsi="Times New Roman"/>
          <w:sz w:val="24"/>
          <w:szCs w:val="24"/>
        </w:rPr>
        <w:t>. The</w:t>
      </w:r>
      <w:r w:rsidRPr="00F03AD7">
        <w:rPr>
          <w:rFonts w:ascii="Times New Roman" w:hAnsi="Times New Roman"/>
          <w:sz w:val="24"/>
          <w:szCs w:val="24"/>
        </w:rPr>
        <w:t xml:space="preserve"> majority of the catch for</w:t>
      </w:r>
      <w:r w:rsidR="009200BD">
        <w:rPr>
          <w:rFonts w:ascii="Times New Roman" w:hAnsi="Times New Roman"/>
          <w:sz w:val="24"/>
          <w:szCs w:val="24"/>
        </w:rPr>
        <w:t xml:space="preserve"> those</w:t>
      </w:r>
      <w:r w:rsidRPr="00F03AD7">
        <w:rPr>
          <w:rFonts w:ascii="Times New Roman" w:hAnsi="Times New Roman"/>
          <w:sz w:val="24"/>
          <w:szCs w:val="24"/>
        </w:rPr>
        <w:t xml:space="preserve"> years is mainly skipjack with some yellowfin and bigeye.  </w:t>
      </w:r>
    </w:p>
    <w:p w14:paraId="3F82D4E4" w14:textId="77777777" w:rsidR="00F03AD7" w:rsidRPr="00F03AD7" w:rsidRDefault="00F03AD7" w:rsidP="00F03AD7">
      <w:pPr>
        <w:pStyle w:val="NoSpacing"/>
        <w:rPr>
          <w:rFonts w:ascii="Times New Roman" w:hAnsi="Times New Roman"/>
          <w:sz w:val="24"/>
          <w:szCs w:val="24"/>
        </w:rPr>
      </w:pPr>
    </w:p>
    <w:p w14:paraId="192DF2A4" w14:textId="2B743797" w:rsidR="00F03AD7" w:rsidRPr="00F03AD7" w:rsidRDefault="00F03AD7" w:rsidP="00F03AD7">
      <w:pPr>
        <w:pStyle w:val="NoSpacing"/>
        <w:rPr>
          <w:rFonts w:ascii="Times New Roman" w:hAnsi="Times New Roman"/>
          <w:sz w:val="24"/>
          <w:szCs w:val="24"/>
        </w:rPr>
      </w:pPr>
      <w:r w:rsidRPr="00F03AD7">
        <w:rPr>
          <w:rFonts w:ascii="Times New Roman" w:hAnsi="Times New Roman"/>
          <w:sz w:val="24"/>
          <w:szCs w:val="24"/>
        </w:rPr>
        <w:t xml:space="preserve">While there </w:t>
      </w:r>
      <w:r w:rsidR="00BF6E16">
        <w:rPr>
          <w:rFonts w:ascii="Times New Roman" w:hAnsi="Times New Roman"/>
          <w:sz w:val="24"/>
          <w:szCs w:val="24"/>
        </w:rPr>
        <w:t>are still issues in</w:t>
      </w:r>
      <w:r w:rsidRPr="00F03AD7">
        <w:rPr>
          <w:rFonts w:ascii="Times New Roman" w:hAnsi="Times New Roman"/>
          <w:sz w:val="24"/>
          <w:szCs w:val="24"/>
        </w:rPr>
        <w:t xml:space="preserve"> the management of Tokelau EEZ, we are committed to improving on that as obligated under the WCPFC Convention. We have therefore set zone-based limits </w:t>
      </w:r>
      <w:r w:rsidR="00945019">
        <w:rPr>
          <w:rFonts w:ascii="Times New Roman" w:hAnsi="Times New Roman"/>
          <w:sz w:val="24"/>
          <w:szCs w:val="24"/>
        </w:rPr>
        <w:t>(as included in this report).</w:t>
      </w:r>
    </w:p>
    <w:p w14:paraId="2D45FA77" w14:textId="77777777" w:rsidR="00F03AD7" w:rsidRPr="00F03AD7" w:rsidRDefault="00F03AD7" w:rsidP="00F03AD7">
      <w:pPr>
        <w:pStyle w:val="NoSpacing"/>
        <w:rPr>
          <w:rFonts w:ascii="Times New Roman" w:hAnsi="Times New Roman"/>
          <w:sz w:val="24"/>
          <w:szCs w:val="24"/>
        </w:rPr>
      </w:pPr>
    </w:p>
    <w:p w14:paraId="70A67694" w14:textId="544E2CA6" w:rsidR="00F03AD7" w:rsidRPr="00F03AD7" w:rsidRDefault="00BF6E16" w:rsidP="00F03AD7">
      <w:pPr>
        <w:pStyle w:val="NoSpacing"/>
        <w:rPr>
          <w:rFonts w:ascii="Times New Roman" w:hAnsi="Times New Roman"/>
          <w:sz w:val="24"/>
          <w:szCs w:val="24"/>
        </w:rPr>
      </w:pPr>
      <w:r>
        <w:rPr>
          <w:rFonts w:ascii="Times New Roman" w:hAnsi="Times New Roman"/>
          <w:sz w:val="24"/>
          <w:szCs w:val="24"/>
        </w:rPr>
        <w:t xml:space="preserve">In January of this year </w:t>
      </w:r>
      <w:r w:rsidR="00F03AD7" w:rsidRPr="00F03AD7">
        <w:rPr>
          <w:rFonts w:ascii="Times New Roman" w:hAnsi="Times New Roman"/>
          <w:sz w:val="24"/>
          <w:szCs w:val="24"/>
        </w:rPr>
        <w:t>Tokelau start</w:t>
      </w:r>
      <w:r>
        <w:rPr>
          <w:rFonts w:ascii="Times New Roman" w:hAnsi="Times New Roman"/>
          <w:sz w:val="24"/>
          <w:szCs w:val="24"/>
        </w:rPr>
        <w:t>ed</w:t>
      </w:r>
      <w:r w:rsidR="00F03AD7" w:rsidRPr="00F03AD7">
        <w:rPr>
          <w:rFonts w:ascii="Times New Roman" w:hAnsi="Times New Roman"/>
          <w:sz w:val="24"/>
          <w:szCs w:val="24"/>
        </w:rPr>
        <w:t xml:space="preserve"> implementing its purse seine limits through the PNA VDS, while the long-line limits are set at 12 licenses per year for vessels targeting the albacore fishery and 8 licenses for vessels targeting the yellowfin and bigeye fisheries</w:t>
      </w:r>
    </w:p>
    <w:p w14:paraId="3D1FF351" w14:textId="77777777" w:rsidR="00F03AD7" w:rsidRPr="00F03AD7" w:rsidRDefault="00F03AD7" w:rsidP="00F03AD7">
      <w:pPr>
        <w:pStyle w:val="NoSpacing"/>
        <w:rPr>
          <w:rFonts w:ascii="Times New Roman" w:hAnsi="Times New Roman"/>
          <w:sz w:val="24"/>
          <w:szCs w:val="24"/>
        </w:rPr>
      </w:pPr>
    </w:p>
    <w:p w14:paraId="0DC64578" w14:textId="6CCF1EF8" w:rsidR="00F03AD7" w:rsidRDefault="00F03AD7" w:rsidP="00F03AD7">
      <w:pPr>
        <w:pStyle w:val="NoSpacing"/>
        <w:rPr>
          <w:rFonts w:ascii="Times New Roman" w:hAnsi="Times New Roman"/>
          <w:sz w:val="24"/>
          <w:szCs w:val="24"/>
        </w:rPr>
      </w:pPr>
      <w:r w:rsidRPr="00F03AD7">
        <w:rPr>
          <w:rFonts w:ascii="Times New Roman" w:hAnsi="Times New Roman"/>
          <w:sz w:val="24"/>
          <w:szCs w:val="24"/>
        </w:rPr>
        <w:t xml:space="preserve">Tokelau is thankful to New Zealand, SPC and FFA for their support in the past years, and we continues to rely on them to </w:t>
      </w:r>
      <w:r w:rsidR="00BF6E16">
        <w:rPr>
          <w:rFonts w:ascii="Times New Roman" w:hAnsi="Times New Roman"/>
          <w:sz w:val="24"/>
          <w:szCs w:val="24"/>
        </w:rPr>
        <w:t>assist in</w:t>
      </w:r>
      <w:r w:rsidRPr="00F03AD7">
        <w:rPr>
          <w:rFonts w:ascii="Times New Roman" w:hAnsi="Times New Roman"/>
          <w:sz w:val="24"/>
          <w:szCs w:val="24"/>
        </w:rPr>
        <w:t xml:space="preserve"> building </w:t>
      </w:r>
      <w:r w:rsidR="00BF6E16">
        <w:rPr>
          <w:rFonts w:ascii="Times New Roman" w:hAnsi="Times New Roman"/>
          <w:sz w:val="24"/>
          <w:szCs w:val="24"/>
        </w:rPr>
        <w:t xml:space="preserve">and strengthening </w:t>
      </w:r>
      <w:r w:rsidRPr="00F03AD7">
        <w:rPr>
          <w:rFonts w:ascii="Times New Roman" w:hAnsi="Times New Roman"/>
          <w:sz w:val="24"/>
          <w:szCs w:val="24"/>
        </w:rPr>
        <w:t xml:space="preserve">capacity and capabilities </w:t>
      </w:r>
      <w:r w:rsidR="00BF6E16">
        <w:rPr>
          <w:rFonts w:ascii="Times New Roman" w:hAnsi="Times New Roman"/>
          <w:sz w:val="24"/>
          <w:szCs w:val="24"/>
        </w:rPr>
        <w:t>in tuna management to enable us to</w:t>
      </w:r>
      <w:r w:rsidRPr="00F03AD7">
        <w:rPr>
          <w:rFonts w:ascii="Times New Roman" w:hAnsi="Times New Roman"/>
          <w:sz w:val="24"/>
          <w:szCs w:val="24"/>
        </w:rPr>
        <w:t xml:space="preserve"> face the challenges</w:t>
      </w:r>
      <w:r w:rsidR="00BF6E16">
        <w:rPr>
          <w:rFonts w:ascii="Times New Roman" w:hAnsi="Times New Roman"/>
          <w:sz w:val="24"/>
          <w:szCs w:val="24"/>
        </w:rPr>
        <w:t xml:space="preserve"> ahead. Tokelau also welcome</w:t>
      </w:r>
      <w:r w:rsidR="00CB222F">
        <w:rPr>
          <w:rFonts w:ascii="Times New Roman" w:hAnsi="Times New Roman"/>
          <w:sz w:val="24"/>
          <w:szCs w:val="24"/>
        </w:rPr>
        <w:t xml:space="preserve"> all</w:t>
      </w:r>
      <w:r w:rsidRPr="00F03AD7">
        <w:rPr>
          <w:rFonts w:ascii="Times New Roman" w:hAnsi="Times New Roman"/>
          <w:sz w:val="24"/>
          <w:szCs w:val="24"/>
        </w:rPr>
        <w:t xml:space="preserve"> other parties that wishes to help us in this regard including WCPFC.</w:t>
      </w:r>
    </w:p>
    <w:p w14:paraId="0A7C72B5" w14:textId="77777777" w:rsidR="00945019" w:rsidRDefault="00945019" w:rsidP="00F03AD7">
      <w:pPr>
        <w:pStyle w:val="NoSpacing"/>
        <w:rPr>
          <w:rFonts w:ascii="Times New Roman" w:hAnsi="Times New Roman"/>
          <w:sz w:val="24"/>
          <w:szCs w:val="24"/>
        </w:rPr>
      </w:pPr>
    </w:p>
    <w:p w14:paraId="63493D3A" w14:textId="77777777" w:rsidR="00945019" w:rsidRDefault="00945019" w:rsidP="00F03AD7">
      <w:pPr>
        <w:pStyle w:val="NoSpacing"/>
        <w:rPr>
          <w:rFonts w:ascii="Times New Roman" w:hAnsi="Times New Roman"/>
          <w:sz w:val="24"/>
          <w:szCs w:val="24"/>
        </w:rPr>
      </w:pPr>
    </w:p>
    <w:p w14:paraId="0BBED21C" w14:textId="77777777" w:rsidR="00945019" w:rsidRDefault="00945019" w:rsidP="00F03AD7">
      <w:pPr>
        <w:pStyle w:val="NoSpacing"/>
        <w:rPr>
          <w:rFonts w:ascii="Times New Roman" w:hAnsi="Times New Roman"/>
          <w:sz w:val="24"/>
          <w:szCs w:val="24"/>
        </w:rPr>
      </w:pPr>
    </w:p>
    <w:p w14:paraId="328F2F33" w14:textId="77777777" w:rsidR="00945019" w:rsidRDefault="00945019" w:rsidP="00F03AD7">
      <w:pPr>
        <w:pStyle w:val="NoSpacing"/>
        <w:rPr>
          <w:rFonts w:ascii="Times New Roman" w:hAnsi="Times New Roman"/>
          <w:sz w:val="24"/>
          <w:szCs w:val="24"/>
        </w:rPr>
      </w:pPr>
    </w:p>
    <w:p w14:paraId="3A1285C1" w14:textId="5A9AE3B1" w:rsidR="00945019" w:rsidRDefault="00945019">
      <w:pPr>
        <w:rPr>
          <w:rFonts w:ascii="Times New Roman" w:eastAsia="Calibri" w:hAnsi="Times New Roman" w:cs="Times New Roman"/>
          <w:sz w:val="24"/>
          <w:szCs w:val="24"/>
          <w:lang w:val="en-NZ"/>
        </w:rPr>
      </w:pPr>
      <w:r>
        <w:rPr>
          <w:rFonts w:ascii="Times New Roman" w:hAnsi="Times New Roman"/>
          <w:sz w:val="24"/>
          <w:szCs w:val="24"/>
        </w:rPr>
        <w:br w:type="page"/>
      </w:r>
    </w:p>
    <w:p w14:paraId="71F658F9" w14:textId="77777777" w:rsidR="00BF6E16" w:rsidRPr="00E27618" w:rsidRDefault="00BF6E16" w:rsidP="00BF6E16">
      <w:pPr>
        <w:pStyle w:val="Default"/>
        <w:shd w:val="clear" w:color="auto" w:fill="E5DFEC" w:themeFill="accent4" w:themeFillTint="33"/>
        <w:rPr>
          <w:b/>
          <w:bCs/>
          <w:sz w:val="22"/>
          <w:szCs w:val="22"/>
        </w:rPr>
      </w:pPr>
      <w:r w:rsidRPr="00E27618">
        <w:rPr>
          <w:b/>
          <w:bCs/>
          <w:sz w:val="22"/>
          <w:szCs w:val="22"/>
        </w:rPr>
        <w:lastRenderedPageBreak/>
        <w:t>I</w:t>
      </w:r>
      <w:r>
        <w:rPr>
          <w:b/>
          <w:bCs/>
          <w:sz w:val="22"/>
          <w:szCs w:val="22"/>
        </w:rPr>
        <w:t>NTRODUCTION</w:t>
      </w:r>
    </w:p>
    <w:p w14:paraId="27636AB7" w14:textId="77777777" w:rsidR="00BF6E16" w:rsidRDefault="00BF6E16" w:rsidP="00E27618">
      <w:pPr>
        <w:pStyle w:val="Default"/>
        <w:rPr>
          <w:b/>
          <w:bCs/>
          <w:sz w:val="22"/>
          <w:szCs w:val="22"/>
        </w:rPr>
      </w:pPr>
    </w:p>
    <w:p w14:paraId="2300D044" w14:textId="77777777" w:rsidR="000B307B" w:rsidRPr="00E04472" w:rsidRDefault="000B307B" w:rsidP="00E27618">
      <w:pPr>
        <w:pStyle w:val="Default"/>
        <w:rPr>
          <w:b/>
          <w:bCs/>
          <w:sz w:val="22"/>
          <w:szCs w:val="22"/>
        </w:rPr>
      </w:pPr>
      <w:r w:rsidRPr="00E04472">
        <w:rPr>
          <w:b/>
          <w:bCs/>
          <w:sz w:val="22"/>
          <w:szCs w:val="22"/>
        </w:rPr>
        <w:t>Background</w:t>
      </w:r>
    </w:p>
    <w:p w14:paraId="0B5A0691" w14:textId="77777777" w:rsidR="00BF6E16" w:rsidRDefault="00BF6E16" w:rsidP="007E1BED">
      <w:pPr>
        <w:pStyle w:val="Default"/>
        <w:rPr>
          <w:lang w:val="en-NZ"/>
        </w:rPr>
      </w:pPr>
    </w:p>
    <w:p w14:paraId="2733615A" w14:textId="77777777" w:rsidR="007E1BED" w:rsidRPr="007E1BED" w:rsidRDefault="007E1BED" w:rsidP="007E1BED">
      <w:pPr>
        <w:pStyle w:val="Default"/>
        <w:rPr>
          <w:b/>
          <w:lang w:val="en-NZ"/>
        </w:rPr>
      </w:pPr>
      <w:r w:rsidRPr="000F4FB9">
        <w:rPr>
          <w:lang w:val="en-NZ"/>
        </w:rPr>
        <w:t>Tokelau continues to develop its tuna management capacities. Current focus include strengthening the capacities of the its Fisheries personnel within Fisheries Division, endorsing and implementing the Offshore Fisheries Management Plan, 2014 - 2016; consulting and applying the Inshore Fisheries Management Plans for each atoll; executing the new Fisheries Regulations, 2012; maintaining and upgrading the Statistical Database; and strengthening systems that  manage zone-based limits for EEZ fisheries</w:t>
      </w:r>
      <w:r w:rsidRPr="007E1BED">
        <w:rPr>
          <w:b/>
          <w:lang w:val="en-NZ"/>
        </w:rPr>
        <w:t xml:space="preserve">.  </w:t>
      </w:r>
    </w:p>
    <w:p w14:paraId="792A8046" w14:textId="77777777" w:rsidR="007E1BED" w:rsidRPr="007E1BED" w:rsidRDefault="007E1BED" w:rsidP="007E1BED">
      <w:pPr>
        <w:pStyle w:val="Default"/>
        <w:rPr>
          <w:b/>
          <w:lang w:val="en-NZ"/>
        </w:rPr>
      </w:pPr>
    </w:p>
    <w:p w14:paraId="6E8801AD" w14:textId="77777777" w:rsidR="007E1BED" w:rsidRPr="007E1BED" w:rsidRDefault="007E1BED" w:rsidP="007E1BED">
      <w:pPr>
        <w:pStyle w:val="Default"/>
        <w:rPr>
          <w:b/>
          <w:lang w:val="en-NZ"/>
        </w:rPr>
      </w:pPr>
      <w:r w:rsidRPr="000F4FB9">
        <w:rPr>
          <w:lang w:val="en-NZ"/>
        </w:rPr>
        <w:t>These are highlights of some of the more prominent developments in the management of Tokelau’s Fisheries in 2012. Tokelau formally joined the Palau Arrangement and established a zone- based limit for purse seining; and enacting the new Tokelau (EEZ) Fishing Regulations, 2012 strengthening the legal framework relating to the management of Tokelau’s EEZ in keeping with the Tokelau Policy</w:t>
      </w:r>
      <w:r w:rsidRPr="007E1BED">
        <w:rPr>
          <w:b/>
          <w:lang w:val="en-NZ"/>
        </w:rPr>
        <w:t>.</w:t>
      </w:r>
    </w:p>
    <w:p w14:paraId="72B53A9D" w14:textId="77777777" w:rsidR="000B307B" w:rsidRDefault="000B307B" w:rsidP="00C8418C">
      <w:pPr>
        <w:pStyle w:val="Default"/>
        <w:rPr>
          <w:b/>
        </w:rPr>
      </w:pPr>
    </w:p>
    <w:p w14:paraId="2D96811D" w14:textId="77777777" w:rsidR="00122A3A" w:rsidRPr="00DE6F80" w:rsidRDefault="00122A3A" w:rsidP="00C8418C">
      <w:pPr>
        <w:pStyle w:val="Default"/>
        <w:shd w:val="clear" w:color="auto" w:fill="E5DFEC" w:themeFill="accent4" w:themeFillTint="33"/>
        <w:rPr>
          <w:b/>
          <w:bCs/>
          <w:sz w:val="22"/>
          <w:szCs w:val="22"/>
        </w:rPr>
      </w:pPr>
      <w:r w:rsidRPr="00DE6F80">
        <w:rPr>
          <w:b/>
          <w:bCs/>
          <w:sz w:val="22"/>
          <w:szCs w:val="22"/>
        </w:rPr>
        <w:t xml:space="preserve">ANNUAL FISHERIES INFORMATION </w:t>
      </w:r>
      <w:r w:rsidR="009C09E6" w:rsidRPr="00DE6F80">
        <w:rPr>
          <w:b/>
          <w:bCs/>
          <w:sz w:val="22"/>
          <w:szCs w:val="22"/>
        </w:rPr>
        <w:t xml:space="preserve">                                                                              </w:t>
      </w:r>
    </w:p>
    <w:p w14:paraId="01D0DD5B" w14:textId="77777777" w:rsidR="00C23964" w:rsidRDefault="00C23964" w:rsidP="00C8418C">
      <w:pPr>
        <w:pStyle w:val="Default"/>
        <w:rPr>
          <w:b/>
          <w:bCs/>
          <w:sz w:val="22"/>
          <w:szCs w:val="22"/>
        </w:rPr>
      </w:pPr>
    </w:p>
    <w:p w14:paraId="01E3F48E" w14:textId="77777777" w:rsidR="009C09E6" w:rsidRDefault="00737475" w:rsidP="00C8418C">
      <w:pPr>
        <w:pStyle w:val="Default"/>
        <w:rPr>
          <w:b/>
          <w:bCs/>
          <w:sz w:val="22"/>
          <w:szCs w:val="22"/>
        </w:rPr>
      </w:pPr>
      <w:r>
        <w:rPr>
          <w:b/>
          <w:bCs/>
          <w:sz w:val="22"/>
          <w:szCs w:val="22"/>
        </w:rPr>
        <w:t>Coastal State Reporting</w:t>
      </w:r>
    </w:p>
    <w:p w14:paraId="212995D9" w14:textId="77777777" w:rsidR="007E1BED" w:rsidRPr="000F4FB9" w:rsidRDefault="007E1BED" w:rsidP="007E1BED">
      <w:pPr>
        <w:pStyle w:val="Default"/>
        <w:rPr>
          <w:lang w:val="en-NZ"/>
        </w:rPr>
      </w:pPr>
      <w:r w:rsidRPr="000F4FB9">
        <w:rPr>
          <w:lang w:val="en-NZ"/>
        </w:rPr>
        <w:t>Tuna Fishe</w:t>
      </w:r>
      <w:r w:rsidR="00FB6416">
        <w:rPr>
          <w:lang w:val="en-NZ"/>
        </w:rPr>
        <w:t>ries in Tokelau include</w:t>
      </w:r>
      <w:r w:rsidRPr="000F4FB9">
        <w:rPr>
          <w:lang w:val="en-NZ"/>
        </w:rPr>
        <w:t xml:space="preserve"> two elements. </w:t>
      </w:r>
    </w:p>
    <w:p w14:paraId="53666A65" w14:textId="77777777" w:rsidR="00E27618" w:rsidRDefault="00E27618" w:rsidP="007E1BED">
      <w:pPr>
        <w:pStyle w:val="Default"/>
        <w:rPr>
          <w:b/>
          <w:bCs/>
          <w:i/>
          <w:lang w:val="en-NZ"/>
        </w:rPr>
      </w:pPr>
    </w:p>
    <w:p w14:paraId="47CB41EB" w14:textId="77777777" w:rsidR="002A2FE9" w:rsidRPr="002A2FE9" w:rsidRDefault="002A2FE9" w:rsidP="002A2FE9">
      <w:pPr>
        <w:pStyle w:val="Default"/>
        <w:rPr>
          <w:b/>
          <w:bCs/>
          <w:i/>
        </w:rPr>
      </w:pPr>
      <w:r w:rsidRPr="002A2FE9">
        <w:rPr>
          <w:b/>
          <w:bCs/>
          <w:i/>
        </w:rPr>
        <w:t xml:space="preserve">Foreign Purse-Seine and Longline fishing. </w:t>
      </w:r>
    </w:p>
    <w:p w14:paraId="5BACACB6" w14:textId="77777777" w:rsidR="002A2FE9" w:rsidRPr="000F4FB9" w:rsidRDefault="002A2FE9" w:rsidP="002A2FE9">
      <w:pPr>
        <w:pStyle w:val="Default"/>
        <w:rPr>
          <w:lang w:val="en-NZ"/>
        </w:rPr>
      </w:pPr>
      <w:r w:rsidRPr="000F4FB9">
        <w:rPr>
          <w:lang w:val="en-NZ"/>
        </w:rPr>
        <w:t xml:space="preserve">Offshore fishing is undertaken by foreign fishing vessels of distant water fishing nations and neighbouring Pacific Island States.  The levels of fishing by these vessels and revenues generated from vessel licensing have fluctuated substantially over the last few years. </w:t>
      </w:r>
    </w:p>
    <w:p w14:paraId="0A6AA1E1" w14:textId="77777777" w:rsidR="002A2FE9" w:rsidRPr="000F4FB9" w:rsidRDefault="002A2FE9" w:rsidP="002A2FE9">
      <w:pPr>
        <w:pStyle w:val="Default"/>
        <w:rPr>
          <w:lang w:val="en-NZ"/>
        </w:rPr>
      </w:pPr>
    </w:p>
    <w:p w14:paraId="37D0ED76" w14:textId="0CE0356B" w:rsidR="002A2FE9" w:rsidRPr="000F4FB9" w:rsidRDefault="002A2FE9" w:rsidP="002A2FE9">
      <w:pPr>
        <w:pStyle w:val="Default"/>
        <w:rPr>
          <w:lang w:val="en-NZ"/>
        </w:rPr>
      </w:pPr>
      <w:r w:rsidRPr="000F4FB9">
        <w:rPr>
          <w:lang w:val="en-NZ"/>
        </w:rPr>
        <w:t>There has been little movement regarding the following and there is no indication that it is likely to change over the next few years</w:t>
      </w:r>
      <w:r w:rsidR="00ED267B">
        <w:rPr>
          <w:lang w:val="en-NZ"/>
        </w:rPr>
        <w:t xml:space="preserve"> -</w:t>
      </w:r>
      <w:r w:rsidRPr="000F4FB9">
        <w:rPr>
          <w:lang w:val="en-NZ"/>
        </w:rPr>
        <w:t xml:space="preserve"> Tokelau does not have the capacity to flag fishing vessels so there are no Tokelau-flagged fishing vessels. There are no port, wharfage and mooring infrastructure and facilities in Tokelau to cater for transhipment, port sampling or processing of large-scale tuna catches. All catches by foreign licensed vessels are offloaded outside Tokelau. </w:t>
      </w:r>
    </w:p>
    <w:p w14:paraId="65328E99" w14:textId="77777777" w:rsidR="002A2FE9" w:rsidRPr="000F4FB9" w:rsidRDefault="002A2FE9" w:rsidP="002A2FE9">
      <w:pPr>
        <w:pStyle w:val="Default"/>
        <w:rPr>
          <w:lang w:val="en-NZ"/>
        </w:rPr>
      </w:pPr>
    </w:p>
    <w:p w14:paraId="5F956F67" w14:textId="7ABA1458" w:rsidR="002A2FE9" w:rsidRPr="000F4FB9" w:rsidRDefault="002A2FE9" w:rsidP="002A2FE9">
      <w:pPr>
        <w:pStyle w:val="Default"/>
        <w:rPr>
          <w:lang w:val="en-NZ"/>
        </w:rPr>
      </w:pPr>
      <w:r w:rsidRPr="000F4FB9">
        <w:rPr>
          <w:lang w:val="en-NZ"/>
        </w:rPr>
        <w:t>Logsheet data for the United States purse-seine vessels under the Treaty (USMLT) are obtained from SPC and data for the New Zealand purse-seine vessels can also be obtained from the SPC pending Tokelau requesting NZ to author</w:t>
      </w:r>
      <w:r w:rsidR="00ED267B">
        <w:rPr>
          <w:lang w:val="en-NZ"/>
        </w:rPr>
        <w:t xml:space="preserve">ise SPC to release these data. </w:t>
      </w:r>
    </w:p>
    <w:p w14:paraId="02DFAADF" w14:textId="77777777" w:rsidR="002A2FE9" w:rsidRPr="000F4FB9" w:rsidRDefault="002A2FE9" w:rsidP="002A2FE9">
      <w:pPr>
        <w:pStyle w:val="Default"/>
        <w:rPr>
          <w:lang w:val="en-NZ"/>
        </w:rPr>
      </w:pPr>
    </w:p>
    <w:p w14:paraId="59AAE86E" w14:textId="77777777" w:rsidR="002A2FE9" w:rsidRPr="000F4FB9" w:rsidRDefault="002A2FE9" w:rsidP="002A2FE9">
      <w:pPr>
        <w:pStyle w:val="Default"/>
        <w:rPr>
          <w:lang w:val="en-NZ"/>
        </w:rPr>
      </w:pPr>
      <w:r w:rsidRPr="000F4FB9">
        <w:rPr>
          <w:lang w:val="en-NZ"/>
        </w:rPr>
        <w:t>Logsheet data for the foreign longliners that have been licensed by Tokelau have not been obtained due to lack of capacity and resources both human and financial however, the reviewed vessel licensing regimes in 2012 should strengthen the reporting obligations in the conditions of the licenses. The following tables show the annual catch and effort levels in Tokelau waters by foreign fishing vessels for the period 2008 to 2012. All catches reported in Table 1 are by US flagged purse-seine vessels licensed under the Treaty.</w:t>
      </w:r>
    </w:p>
    <w:p w14:paraId="1E3E56EF" w14:textId="77777777" w:rsidR="000F4FB9" w:rsidRDefault="000F4FB9" w:rsidP="00C8418C">
      <w:pPr>
        <w:pStyle w:val="Default"/>
        <w:rPr>
          <w:b/>
          <w:bCs/>
          <w:sz w:val="22"/>
          <w:szCs w:val="22"/>
        </w:rPr>
      </w:pPr>
    </w:p>
    <w:p w14:paraId="1E2750FE" w14:textId="77777777" w:rsidR="000B307B" w:rsidRDefault="000B307B" w:rsidP="00C8418C">
      <w:pPr>
        <w:pStyle w:val="Default"/>
        <w:rPr>
          <w:b/>
          <w:bCs/>
          <w:sz w:val="22"/>
          <w:szCs w:val="22"/>
        </w:rPr>
      </w:pPr>
    </w:p>
    <w:p w14:paraId="6B5731FF" w14:textId="77777777" w:rsidR="00863553" w:rsidRDefault="00863553" w:rsidP="00C8418C">
      <w:pPr>
        <w:pStyle w:val="Default"/>
        <w:rPr>
          <w:b/>
          <w:bCs/>
          <w:sz w:val="22"/>
          <w:szCs w:val="22"/>
        </w:rPr>
      </w:pPr>
    </w:p>
    <w:p w14:paraId="5D502378" w14:textId="71A74485" w:rsidR="00863553" w:rsidRDefault="00863553">
      <w:pPr>
        <w:rPr>
          <w:rFonts w:ascii="Times New Roman" w:hAnsi="Times New Roman" w:cs="Times New Roman"/>
          <w:b/>
          <w:bCs/>
          <w:color w:val="000000"/>
          <w:sz w:val="24"/>
          <w:szCs w:val="24"/>
        </w:rPr>
      </w:pPr>
      <w:r>
        <w:rPr>
          <w:b/>
          <w:bCs/>
        </w:rPr>
        <w:br w:type="page"/>
      </w:r>
    </w:p>
    <w:p w14:paraId="666DA9E1" w14:textId="77777777" w:rsidR="00863553" w:rsidRPr="00863553" w:rsidRDefault="002A2FE9" w:rsidP="002A2FE9">
      <w:pPr>
        <w:pStyle w:val="Default"/>
        <w:rPr>
          <w:bCs/>
          <w:i/>
          <w:sz w:val="22"/>
          <w:szCs w:val="22"/>
        </w:rPr>
      </w:pPr>
      <w:r w:rsidRPr="00863553">
        <w:rPr>
          <w:b/>
          <w:bCs/>
          <w:i/>
          <w:sz w:val="22"/>
          <w:szCs w:val="22"/>
        </w:rPr>
        <w:lastRenderedPageBreak/>
        <w:t>Table 1</w:t>
      </w:r>
      <w:r w:rsidRPr="00863553">
        <w:rPr>
          <w:bCs/>
          <w:i/>
          <w:sz w:val="22"/>
          <w:szCs w:val="22"/>
        </w:rPr>
        <w:t xml:space="preserve">. Annual Foreign purse-seine catches in Tokelau waters from 2008 to 2012. </w:t>
      </w:r>
    </w:p>
    <w:p w14:paraId="655AD865" w14:textId="181AFD2C" w:rsidR="002A2FE9" w:rsidRPr="00863553" w:rsidRDefault="002A2FE9" w:rsidP="002A2FE9">
      <w:pPr>
        <w:pStyle w:val="Default"/>
        <w:rPr>
          <w:bCs/>
          <w:i/>
          <w:sz w:val="22"/>
          <w:szCs w:val="22"/>
        </w:rPr>
      </w:pPr>
      <w:r w:rsidRPr="00863553">
        <w:rPr>
          <w:bCs/>
          <w:i/>
          <w:sz w:val="22"/>
          <w:szCs w:val="22"/>
        </w:rPr>
        <w:t>(based on raised logsheet data)</w:t>
      </w:r>
    </w:p>
    <w:p w14:paraId="5E6F520E" w14:textId="77777777" w:rsidR="00863553" w:rsidRDefault="00863553" w:rsidP="002A2FE9">
      <w:pPr>
        <w:pStyle w:val="Default"/>
        <w:rPr>
          <w:b/>
          <w:bCs/>
        </w:rPr>
      </w:pPr>
    </w:p>
    <w:tbl>
      <w:tblPr>
        <w:tblW w:w="5818" w:type="dxa"/>
        <w:tblInd w:w="93" w:type="dxa"/>
        <w:tblLook w:val="04A0" w:firstRow="1" w:lastRow="0" w:firstColumn="1" w:lastColumn="0" w:noHBand="0" w:noVBand="1"/>
      </w:tblPr>
      <w:tblGrid>
        <w:gridCol w:w="960"/>
        <w:gridCol w:w="710"/>
        <w:gridCol w:w="938"/>
        <w:gridCol w:w="1136"/>
        <w:gridCol w:w="938"/>
        <w:gridCol w:w="1136"/>
      </w:tblGrid>
      <w:tr w:rsidR="002A2FE9" w:rsidRPr="002A2FE9" w14:paraId="5DA19753" w14:textId="77777777" w:rsidTr="00863553">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9C733D8" w14:textId="77777777" w:rsidR="002A2FE9" w:rsidRPr="002A2FE9" w:rsidRDefault="002A2FE9" w:rsidP="002A2FE9">
            <w:pPr>
              <w:pStyle w:val="Default"/>
              <w:rPr>
                <w:b/>
                <w:bCs/>
              </w:rPr>
            </w:pPr>
            <w:r w:rsidRPr="002A2FE9">
              <w:rPr>
                <w:b/>
                <w:bCs/>
              </w:rPr>
              <w:t>Year</w:t>
            </w:r>
          </w:p>
        </w:tc>
        <w:tc>
          <w:tcPr>
            <w:tcW w:w="4858" w:type="dxa"/>
            <w:gridSpan w:val="5"/>
            <w:tcBorders>
              <w:top w:val="single" w:sz="4" w:space="0" w:color="auto"/>
              <w:left w:val="nil"/>
              <w:bottom w:val="single" w:sz="4" w:space="0" w:color="auto"/>
              <w:right w:val="single" w:sz="4" w:space="0" w:color="auto"/>
            </w:tcBorders>
            <w:shd w:val="clear" w:color="000000" w:fill="FCD5B4"/>
            <w:noWrap/>
            <w:vAlign w:val="bottom"/>
            <w:hideMark/>
          </w:tcPr>
          <w:p w14:paraId="1A1CCAED" w14:textId="77777777" w:rsidR="002A2FE9" w:rsidRPr="002A2FE9" w:rsidRDefault="002A2FE9" w:rsidP="002A2FE9">
            <w:pPr>
              <w:pStyle w:val="Default"/>
              <w:rPr>
                <w:b/>
                <w:bCs/>
              </w:rPr>
            </w:pPr>
            <w:r w:rsidRPr="002A2FE9">
              <w:rPr>
                <w:b/>
                <w:bCs/>
              </w:rPr>
              <w:t>CATCH (metric tonnes)</w:t>
            </w:r>
          </w:p>
        </w:tc>
      </w:tr>
      <w:tr w:rsidR="002A2FE9" w:rsidRPr="002A2FE9" w14:paraId="5D8649A9" w14:textId="77777777" w:rsidTr="00863553">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B3731F5" w14:textId="77777777" w:rsidR="002A2FE9" w:rsidRPr="002A2FE9" w:rsidRDefault="002A2FE9" w:rsidP="002A2FE9">
            <w:pPr>
              <w:pStyle w:val="Default"/>
              <w:rPr>
                <w:b/>
                <w:bCs/>
              </w:rPr>
            </w:pPr>
          </w:p>
        </w:tc>
        <w:tc>
          <w:tcPr>
            <w:tcW w:w="710" w:type="dxa"/>
            <w:tcBorders>
              <w:top w:val="nil"/>
              <w:left w:val="nil"/>
              <w:bottom w:val="single" w:sz="4" w:space="0" w:color="auto"/>
              <w:right w:val="single" w:sz="4" w:space="0" w:color="auto"/>
            </w:tcBorders>
            <w:shd w:val="clear" w:color="000000" w:fill="FCD5B4"/>
            <w:noWrap/>
            <w:vAlign w:val="bottom"/>
            <w:hideMark/>
          </w:tcPr>
          <w:p w14:paraId="2F843F93" w14:textId="77777777" w:rsidR="002A2FE9" w:rsidRPr="002A2FE9" w:rsidRDefault="002A2FE9" w:rsidP="002A2FE9">
            <w:pPr>
              <w:pStyle w:val="Default"/>
              <w:rPr>
                <w:b/>
                <w:bCs/>
              </w:rPr>
            </w:pPr>
            <w:r w:rsidRPr="002A2FE9">
              <w:rPr>
                <w:b/>
                <w:bCs/>
              </w:rPr>
              <w:t>ALB</w:t>
            </w:r>
          </w:p>
        </w:tc>
        <w:tc>
          <w:tcPr>
            <w:tcW w:w="938" w:type="dxa"/>
            <w:tcBorders>
              <w:top w:val="nil"/>
              <w:left w:val="nil"/>
              <w:bottom w:val="single" w:sz="4" w:space="0" w:color="auto"/>
              <w:right w:val="single" w:sz="4" w:space="0" w:color="auto"/>
            </w:tcBorders>
            <w:shd w:val="clear" w:color="000000" w:fill="FCD5B4"/>
            <w:noWrap/>
            <w:vAlign w:val="bottom"/>
            <w:hideMark/>
          </w:tcPr>
          <w:p w14:paraId="7F87AD62" w14:textId="77777777" w:rsidR="002A2FE9" w:rsidRPr="002A2FE9" w:rsidRDefault="002A2FE9" w:rsidP="002A2FE9">
            <w:pPr>
              <w:pStyle w:val="Default"/>
              <w:rPr>
                <w:b/>
                <w:bCs/>
              </w:rPr>
            </w:pPr>
            <w:r w:rsidRPr="002A2FE9">
              <w:rPr>
                <w:b/>
                <w:bCs/>
              </w:rPr>
              <w:t>BET</w:t>
            </w:r>
          </w:p>
        </w:tc>
        <w:tc>
          <w:tcPr>
            <w:tcW w:w="1136" w:type="dxa"/>
            <w:tcBorders>
              <w:top w:val="nil"/>
              <w:left w:val="nil"/>
              <w:bottom w:val="single" w:sz="4" w:space="0" w:color="auto"/>
              <w:right w:val="single" w:sz="4" w:space="0" w:color="auto"/>
            </w:tcBorders>
            <w:shd w:val="clear" w:color="000000" w:fill="FCD5B4"/>
            <w:noWrap/>
            <w:vAlign w:val="bottom"/>
            <w:hideMark/>
          </w:tcPr>
          <w:p w14:paraId="131397A5" w14:textId="77777777" w:rsidR="002A2FE9" w:rsidRPr="002A2FE9" w:rsidRDefault="002A2FE9" w:rsidP="002A2FE9">
            <w:pPr>
              <w:pStyle w:val="Default"/>
              <w:rPr>
                <w:b/>
                <w:bCs/>
              </w:rPr>
            </w:pPr>
            <w:r w:rsidRPr="002A2FE9">
              <w:rPr>
                <w:b/>
                <w:bCs/>
              </w:rPr>
              <w:t>SKJ</w:t>
            </w:r>
          </w:p>
        </w:tc>
        <w:tc>
          <w:tcPr>
            <w:tcW w:w="938" w:type="dxa"/>
            <w:tcBorders>
              <w:top w:val="nil"/>
              <w:left w:val="nil"/>
              <w:bottom w:val="single" w:sz="4" w:space="0" w:color="auto"/>
              <w:right w:val="single" w:sz="4" w:space="0" w:color="auto"/>
            </w:tcBorders>
            <w:shd w:val="clear" w:color="000000" w:fill="FCD5B4"/>
            <w:noWrap/>
            <w:vAlign w:val="bottom"/>
            <w:hideMark/>
          </w:tcPr>
          <w:p w14:paraId="71AD3EF9" w14:textId="77777777" w:rsidR="002A2FE9" w:rsidRPr="002A2FE9" w:rsidRDefault="002A2FE9" w:rsidP="002A2FE9">
            <w:pPr>
              <w:pStyle w:val="Default"/>
              <w:rPr>
                <w:b/>
                <w:bCs/>
              </w:rPr>
            </w:pPr>
            <w:r w:rsidRPr="002A2FE9">
              <w:rPr>
                <w:b/>
                <w:bCs/>
              </w:rPr>
              <w:t>YFT</w:t>
            </w:r>
          </w:p>
        </w:tc>
        <w:tc>
          <w:tcPr>
            <w:tcW w:w="1136" w:type="dxa"/>
            <w:tcBorders>
              <w:top w:val="nil"/>
              <w:left w:val="nil"/>
              <w:bottom w:val="single" w:sz="4" w:space="0" w:color="auto"/>
              <w:right w:val="single" w:sz="4" w:space="0" w:color="auto"/>
            </w:tcBorders>
            <w:shd w:val="clear" w:color="000000" w:fill="FCD5B4"/>
            <w:noWrap/>
            <w:vAlign w:val="bottom"/>
            <w:hideMark/>
          </w:tcPr>
          <w:p w14:paraId="1E55D2D7" w14:textId="77777777" w:rsidR="002A2FE9" w:rsidRPr="002A2FE9" w:rsidRDefault="002A2FE9" w:rsidP="002A2FE9">
            <w:pPr>
              <w:pStyle w:val="Default"/>
              <w:rPr>
                <w:b/>
                <w:bCs/>
              </w:rPr>
            </w:pPr>
            <w:r w:rsidRPr="002A2FE9">
              <w:rPr>
                <w:b/>
                <w:bCs/>
              </w:rPr>
              <w:t>TOTAL</w:t>
            </w:r>
          </w:p>
        </w:tc>
      </w:tr>
      <w:tr w:rsidR="002A2FE9" w:rsidRPr="002A2FE9" w14:paraId="2C649506" w14:textId="77777777" w:rsidTr="0086355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C4C425" w14:textId="77777777" w:rsidR="002A2FE9" w:rsidRPr="002A2FE9" w:rsidRDefault="002A2FE9" w:rsidP="002A2FE9">
            <w:pPr>
              <w:pStyle w:val="Default"/>
              <w:rPr>
                <w:b/>
                <w:bCs/>
              </w:rPr>
            </w:pPr>
            <w:r w:rsidRPr="002A2FE9">
              <w:rPr>
                <w:b/>
                <w:bCs/>
              </w:rPr>
              <w:t>2008</w:t>
            </w:r>
          </w:p>
        </w:tc>
        <w:tc>
          <w:tcPr>
            <w:tcW w:w="710" w:type="dxa"/>
            <w:tcBorders>
              <w:top w:val="nil"/>
              <w:left w:val="nil"/>
              <w:bottom w:val="single" w:sz="4" w:space="0" w:color="auto"/>
              <w:right w:val="single" w:sz="4" w:space="0" w:color="auto"/>
            </w:tcBorders>
            <w:shd w:val="clear" w:color="auto" w:fill="auto"/>
            <w:noWrap/>
            <w:vAlign w:val="bottom"/>
            <w:hideMark/>
          </w:tcPr>
          <w:p w14:paraId="2EA57A90" w14:textId="77777777" w:rsidR="002A2FE9" w:rsidRPr="002A2FE9" w:rsidRDefault="002A2FE9" w:rsidP="002A2FE9">
            <w:pPr>
              <w:pStyle w:val="Default"/>
              <w:rPr>
                <w:b/>
                <w:bCs/>
              </w:rPr>
            </w:pPr>
            <w:r w:rsidRPr="002A2FE9">
              <w:rPr>
                <w:b/>
                <w:bCs/>
              </w:rPr>
              <w:t>0</w:t>
            </w:r>
          </w:p>
        </w:tc>
        <w:tc>
          <w:tcPr>
            <w:tcW w:w="938" w:type="dxa"/>
            <w:tcBorders>
              <w:top w:val="nil"/>
              <w:left w:val="nil"/>
              <w:bottom w:val="single" w:sz="4" w:space="0" w:color="auto"/>
              <w:right w:val="single" w:sz="4" w:space="0" w:color="auto"/>
            </w:tcBorders>
            <w:shd w:val="clear" w:color="auto" w:fill="auto"/>
            <w:noWrap/>
            <w:vAlign w:val="bottom"/>
            <w:hideMark/>
          </w:tcPr>
          <w:p w14:paraId="1D5BA5DB" w14:textId="77777777" w:rsidR="002A2FE9" w:rsidRPr="002A2FE9" w:rsidRDefault="002A2FE9" w:rsidP="002A2FE9">
            <w:pPr>
              <w:pStyle w:val="Default"/>
              <w:rPr>
                <w:b/>
                <w:bCs/>
              </w:rPr>
            </w:pPr>
            <w:r w:rsidRPr="002A2FE9">
              <w:rPr>
                <w:b/>
                <w:bCs/>
              </w:rPr>
              <w:t>178</w:t>
            </w:r>
          </w:p>
        </w:tc>
        <w:tc>
          <w:tcPr>
            <w:tcW w:w="1136" w:type="dxa"/>
            <w:tcBorders>
              <w:top w:val="nil"/>
              <w:left w:val="nil"/>
              <w:bottom w:val="single" w:sz="4" w:space="0" w:color="auto"/>
              <w:right w:val="single" w:sz="4" w:space="0" w:color="auto"/>
            </w:tcBorders>
            <w:shd w:val="clear" w:color="auto" w:fill="auto"/>
            <w:noWrap/>
            <w:vAlign w:val="bottom"/>
            <w:hideMark/>
          </w:tcPr>
          <w:p w14:paraId="5FF6773B" w14:textId="77777777" w:rsidR="002A2FE9" w:rsidRPr="002A2FE9" w:rsidRDefault="002A2FE9" w:rsidP="002A2FE9">
            <w:pPr>
              <w:pStyle w:val="Default"/>
              <w:rPr>
                <w:b/>
                <w:bCs/>
              </w:rPr>
            </w:pPr>
            <w:r w:rsidRPr="002A2FE9">
              <w:rPr>
                <w:b/>
                <w:bCs/>
              </w:rPr>
              <w:t>3,193</w:t>
            </w:r>
          </w:p>
        </w:tc>
        <w:tc>
          <w:tcPr>
            <w:tcW w:w="938" w:type="dxa"/>
            <w:tcBorders>
              <w:top w:val="nil"/>
              <w:left w:val="nil"/>
              <w:bottom w:val="single" w:sz="4" w:space="0" w:color="auto"/>
              <w:right w:val="single" w:sz="4" w:space="0" w:color="auto"/>
            </w:tcBorders>
            <w:shd w:val="clear" w:color="auto" w:fill="auto"/>
            <w:noWrap/>
            <w:vAlign w:val="bottom"/>
            <w:hideMark/>
          </w:tcPr>
          <w:p w14:paraId="0D4906E0" w14:textId="77777777" w:rsidR="002A2FE9" w:rsidRPr="002A2FE9" w:rsidRDefault="002A2FE9" w:rsidP="002A2FE9">
            <w:pPr>
              <w:pStyle w:val="Default"/>
              <w:rPr>
                <w:b/>
                <w:bCs/>
              </w:rPr>
            </w:pPr>
            <w:r w:rsidRPr="002A2FE9">
              <w:rPr>
                <w:b/>
                <w:bCs/>
              </w:rPr>
              <w:t>560</w:t>
            </w:r>
          </w:p>
        </w:tc>
        <w:tc>
          <w:tcPr>
            <w:tcW w:w="1136" w:type="dxa"/>
            <w:tcBorders>
              <w:top w:val="nil"/>
              <w:left w:val="nil"/>
              <w:bottom w:val="single" w:sz="4" w:space="0" w:color="auto"/>
              <w:right w:val="single" w:sz="4" w:space="0" w:color="auto"/>
            </w:tcBorders>
            <w:shd w:val="clear" w:color="auto" w:fill="auto"/>
            <w:noWrap/>
            <w:vAlign w:val="bottom"/>
            <w:hideMark/>
          </w:tcPr>
          <w:p w14:paraId="45997D31" w14:textId="77777777" w:rsidR="002A2FE9" w:rsidRPr="002A2FE9" w:rsidRDefault="002A2FE9" w:rsidP="002A2FE9">
            <w:pPr>
              <w:pStyle w:val="Default"/>
              <w:rPr>
                <w:b/>
                <w:bCs/>
              </w:rPr>
            </w:pPr>
            <w:r w:rsidRPr="002A2FE9">
              <w:rPr>
                <w:b/>
                <w:bCs/>
              </w:rPr>
              <w:t>3,931</w:t>
            </w:r>
          </w:p>
        </w:tc>
      </w:tr>
      <w:tr w:rsidR="002A2FE9" w:rsidRPr="002A2FE9" w14:paraId="2254AF80" w14:textId="77777777" w:rsidTr="0086355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B5C0F3" w14:textId="77777777" w:rsidR="002A2FE9" w:rsidRPr="002A2FE9" w:rsidRDefault="002A2FE9" w:rsidP="002A2FE9">
            <w:pPr>
              <w:pStyle w:val="Default"/>
              <w:rPr>
                <w:b/>
                <w:bCs/>
              </w:rPr>
            </w:pPr>
            <w:r w:rsidRPr="002A2FE9">
              <w:rPr>
                <w:b/>
                <w:bCs/>
              </w:rPr>
              <w:t>2009</w:t>
            </w:r>
          </w:p>
        </w:tc>
        <w:tc>
          <w:tcPr>
            <w:tcW w:w="710" w:type="dxa"/>
            <w:tcBorders>
              <w:top w:val="nil"/>
              <w:left w:val="nil"/>
              <w:bottom w:val="single" w:sz="4" w:space="0" w:color="auto"/>
              <w:right w:val="single" w:sz="4" w:space="0" w:color="auto"/>
            </w:tcBorders>
            <w:shd w:val="clear" w:color="auto" w:fill="auto"/>
            <w:noWrap/>
            <w:vAlign w:val="bottom"/>
            <w:hideMark/>
          </w:tcPr>
          <w:p w14:paraId="3CB805D7" w14:textId="77777777" w:rsidR="002A2FE9" w:rsidRPr="002A2FE9" w:rsidRDefault="002A2FE9" w:rsidP="002A2FE9">
            <w:pPr>
              <w:pStyle w:val="Default"/>
              <w:rPr>
                <w:b/>
                <w:bCs/>
              </w:rPr>
            </w:pPr>
            <w:r w:rsidRPr="002A2FE9">
              <w:rPr>
                <w:b/>
                <w:bCs/>
              </w:rPr>
              <w:t>0</w:t>
            </w:r>
          </w:p>
        </w:tc>
        <w:tc>
          <w:tcPr>
            <w:tcW w:w="938" w:type="dxa"/>
            <w:tcBorders>
              <w:top w:val="nil"/>
              <w:left w:val="nil"/>
              <w:bottom w:val="single" w:sz="4" w:space="0" w:color="auto"/>
              <w:right w:val="single" w:sz="4" w:space="0" w:color="auto"/>
            </w:tcBorders>
            <w:shd w:val="clear" w:color="auto" w:fill="auto"/>
            <w:noWrap/>
            <w:vAlign w:val="bottom"/>
            <w:hideMark/>
          </w:tcPr>
          <w:p w14:paraId="7AC4E198" w14:textId="77777777" w:rsidR="002A2FE9" w:rsidRPr="002A2FE9" w:rsidRDefault="002A2FE9" w:rsidP="002A2FE9">
            <w:pPr>
              <w:pStyle w:val="Default"/>
              <w:rPr>
                <w:b/>
                <w:bCs/>
              </w:rPr>
            </w:pPr>
            <w:r w:rsidRPr="002A2FE9">
              <w:rPr>
                <w:b/>
                <w:bCs/>
              </w:rPr>
              <w:t>308</w:t>
            </w:r>
          </w:p>
        </w:tc>
        <w:tc>
          <w:tcPr>
            <w:tcW w:w="1136" w:type="dxa"/>
            <w:tcBorders>
              <w:top w:val="nil"/>
              <w:left w:val="nil"/>
              <w:bottom w:val="single" w:sz="4" w:space="0" w:color="auto"/>
              <w:right w:val="single" w:sz="4" w:space="0" w:color="auto"/>
            </w:tcBorders>
            <w:shd w:val="clear" w:color="auto" w:fill="auto"/>
            <w:noWrap/>
            <w:vAlign w:val="bottom"/>
            <w:hideMark/>
          </w:tcPr>
          <w:p w14:paraId="6E0F71E9" w14:textId="77777777" w:rsidR="002A2FE9" w:rsidRPr="002A2FE9" w:rsidRDefault="002A2FE9" w:rsidP="002A2FE9">
            <w:pPr>
              <w:pStyle w:val="Default"/>
              <w:rPr>
                <w:b/>
                <w:bCs/>
              </w:rPr>
            </w:pPr>
            <w:r w:rsidRPr="002A2FE9">
              <w:rPr>
                <w:b/>
                <w:bCs/>
              </w:rPr>
              <w:t>5,910</w:t>
            </w:r>
          </w:p>
        </w:tc>
        <w:tc>
          <w:tcPr>
            <w:tcW w:w="938" w:type="dxa"/>
            <w:tcBorders>
              <w:top w:val="nil"/>
              <w:left w:val="nil"/>
              <w:bottom w:val="single" w:sz="4" w:space="0" w:color="auto"/>
              <w:right w:val="single" w:sz="4" w:space="0" w:color="auto"/>
            </w:tcBorders>
            <w:shd w:val="clear" w:color="auto" w:fill="auto"/>
            <w:noWrap/>
            <w:vAlign w:val="bottom"/>
            <w:hideMark/>
          </w:tcPr>
          <w:p w14:paraId="6191F4D9" w14:textId="77777777" w:rsidR="002A2FE9" w:rsidRPr="002A2FE9" w:rsidRDefault="002A2FE9" w:rsidP="002A2FE9">
            <w:pPr>
              <w:pStyle w:val="Default"/>
              <w:rPr>
                <w:b/>
                <w:bCs/>
              </w:rPr>
            </w:pPr>
            <w:r w:rsidRPr="002A2FE9">
              <w:rPr>
                <w:b/>
                <w:bCs/>
              </w:rPr>
              <w:t>1,049</w:t>
            </w:r>
          </w:p>
        </w:tc>
        <w:tc>
          <w:tcPr>
            <w:tcW w:w="1136" w:type="dxa"/>
            <w:tcBorders>
              <w:top w:val="nil"/>
              <w:left w:val="nil"/>
              <w:bottom w:val="single" w:sz="4" w:space="0" w:color="auto"/>
              <w:right w:val="single" w:sz="4" w:space="0" w:color="auto"/>
            </w:tcBorders>
            <w:shd w:val="clear" w:color="auto" w:fill="auto"/>
            <w:noWrap/>
            <w:vAlign w:val="bottom"/>
            <w:hideMark/>
          </w:tcPr>
          <w:p w14:paraId="376B16C1" w14:textId="77777777" w:rsidR="002A2FE9" w:rsidRPr="002A2FE9" w:rsidRDefault="002A2FE9" w:rsidP="002A2FE9">
            <w:pPr>
              <w:pStyle w:val="Default"/>
              <w:rPr>
                <w:b/>
                <w:bCs/>
              </w:rPr>
            </w:pPr>
            <w:r w:rsidRPr="002A2FE9">
              <w:rPr>
                <w:b/>
                <w:bCs/>
              </w:rPr>
              <w:t>7,267</w:t>
            </w:r>
          </w:p>
        </w:tc>
      </w:tr>
      <w:tr w:rsidR="002A2FE9" w:rsidRPr="002A2FE9" w14:paraId="55A5246A" w14:textId="77777777" w:rsidTr="0086355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DD7C9F" w14:textId="77777777" w:rsidR="002A2FE9" w:rsidRPr="002A2FE9" w:rsidRDefault="002A2FE9" w:rsidP="002A2FE9">
            <w:pPr>
              <w:pStyle w:val="Default"/>
              <w:rPr>
                <w:b/>
                <w:bCs/>
              </w:rPr>
            </w:pPr>
            <w:r w:rsidRPr="002A2FE9">
              <w:rPr>
                <w:b/>
                <w:bCs/>
              </w:rPr>
              <w:t>2010</w:t>
            </w:r>
          </w:p>
        </w:tc>
        <w:tc>
          <w:tcPr>
            <w:tcW w:w="710" w:type="dxa"/>
            <w:tcBorders>
              <w:top w:val="nil"/>
              <w:left w:val="nil"/>
              <w:bottom w:val="single" w:sz="4" w:space="0" w:color="auto"/>
              <w:right w:val="single" w:sz="4" w:space="0" w:color="auto"/>
            </w:tcBorders>
            <w:shd w:val="clear" w:color="auto" w:fill="auto"/>
            <w:noWrap/>
            <w:vAlign w:val="bottom"/>
            <w:hideMark/>
          </w:tcPr>
          <w:p w14:paraId="3D029F4D" w14:textId="77777777" w:rsidR="002A2FE9" w:rsidRPr="002A2FE9" w:rsidRDefault="002A2FE9" w:rsidP="002A2FE9">
            <w:pPr>
              <w:pStyle w:val="Default"/>
              <w:rPr>
                <w:b/>
                <w:bCs/>
              </w:rPr>
            </w:pPr>
            <w:r w:rsidRPr="002A2FE9">
              <w:rPr>
                <w:b/>
                <w:bCs/>
              </w:rPr>
              <w:t>0</w:t>
            </w:r>
          </w:p>
        </w:tc>
        <w:tc>
          <w:tcPr>
            <w:tcW w:w="938" w:type="dxa"/>
            <w:tcBorders>
              <w:top w:val="nil"/>
              <w:left w:val="nil"/>
              <w:bottom w:val="single" w:sz="4" w:space="0" w:color="auto"/>
              <w:right w:val="single" w:sz="4" w:space="0" w:color="auto"/>
            </w:tcBorders>
            <w:shd w:val="clear" w:color="auto" w:fill="auto"/>
            <w:noWrap/>
            <w:vAlign w:val="bottom"/>
            <w:hideMark/>
          </w:tcPr>
          <w:p w14:paraId="28A62803" w14:textId="77777777" w:rsidR="002A2FE9" w:rsidRPr="002A2FE9" w:rsidRDefault="002A2FE9" w:rsidP="002A2FE9">
            <w:pPr>
              <w:pStyle w:val="Default"/>
              <w:rPr>
                <w:b/>
                <w:bCs/>
              </w:rPr>
            </w:pPr>
            <w:r w:rsidRPr="002A2FE9">
              <w:rPr>
                <w:b/>
                <w:bCs/>
              </w:rPr>
              <w:t>110</w:t>
            </w:r>
          </w:p>
        </w:tc>
        <w:tc>
          <w:tcPr>
            <w:tcW w:w="1136" w:type="dxa"/>
            <w:tcBorders>
              <w:top w:val="nil"/>
              <w:left w:val="nil"/>
              <w:bottom w:val="single" w:sz="4" w:space="0" w:color="auto"/>
              <w:right w:val="single" w:sz="4" w:space="0" w:color="auto"/>
            </w:tcBorders>
            <w:shd w:val="clear" w:color="auto" w:fill="auto"/>
            <w:noWrap/>
            <w:vAlign w:val="bottom"/>
            <w:hideMark/>
          </w:tcPr>
          <w:p w14:paraId="0959C92B" w14:textId="77777777" w:rsidR="002A2FE9" w:rsidRPr="002A2FE9" w:rsidRDefault="002A2FE9" w:rsidP="002A2FE9">
            <w:pPr>
              <w:pStyle w:val="Default"/>
              <w:rPr>
                <w:b/>
                <w:bCs/>
              </w:rPr>
            </w:pPr>
            <w:r w:rsidRPr="002A2FE9">
              <w:rPr>
                <w:b/>
                <w:bCs/>
              </w:rPr>
              <w:t>3,378</w:t>
            </w:r>
          </w:p>
        </w:tc>
        <w:tc>
          <w:tcPr>
            <w:tcW w:w="938" w:type="dxa"/>
            <w:tcBorders>
              <w:top w:val="nil"/>
              <w:left w:val="nil"/>
              <w:bottom w:val="single" w:sz="4" w:space="0" w:color="auto"/>
              <w:right w:val="single" w:sz="4" w:space="0" w:color="auto"/>
            </w:tcBorders>
            <w:shd w:val="clear" w:color="auto" w:fill="auto"/>
            <w:noWrap/>
            <w:vAlign w:val="bottom"/>
            <w:hideMark/>
          </w:tcPr>
          <w:p w14:paraId="54873470" w14:textId="77777777" w:rsidR="002A2FE9" w:rsidRPr="002A2FE9" w:rsidRDefault="002A2FE9" w:rsidP="002A2FE9">
            <w:pPr>
              <w:pStyle w:val="Default"/>
              <w:rPr>
                <w:b/>
                <w:bCs/>
              </w:rPr>
            </w:pPr>
            <w:r w:rsidRPr="002A2FE9">
              <w:rPr>
                <w:b/>
                <w:bCs/>
              </w:rPr>
              <w:t>273</w:t>
            </w:r>
          </w:p>
        </w:tc>
        <w:tc>
          <w:tcPr>
            <w:tcW w:w="1136" w:type="dxa"/>
            <w:tcBorders>
              <w:top w:val="nil"/>
              <w:left w:val="nil"/>
              <w:bottom w:val="single" w:sz="4" w:space="0" w:color="auto"/>
              <w:right w:val="single" w:sz="4" w:space="0" w:color="auto"/>
            </w:tcBorders>
            <w:shd w:val="clear" w:color="auto" w:fill="auto"/>
            <w:noWrap/>
            <w:vAlign w:val="bottom"/>
            <w:hideMark/>
          </w:tcPr>
          <w:p w14:paraId="61F380E8" w14:textId="77777777" w:rsidR="002A2FE9" w:rsidRPr="002A2FE9" w:rsidRDefault="002A2FE9" w:rsidP="002A2FE9">
            <w:pPr>
              <w:pStyle w:val="Default"/>
              <w:rPr>
                <w:b/>
                <w:bCs/>
              </w:rPr>
            </w:pPr>
            <w:r w:rsidRPr="002A2FE9">
              <w:rPr>
                <w:b/>
                <w:bCs/>
              </w:rPr>
              <w:t>3,761</w:t>
            </w:r>
          </w:p>
        </w:tc>
      </w:tr>
      <w:tr w:rsidR="002A2FE9" w:rsidRPr="002A2FE9" w14:paraId="7C6BF47D" w14:textId="77777777" w:rsidTr="0086355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72D212" w14:textId="77777777" w:rsidR="002A2FE9" w:rsidRPr="002A2FE9" w:rsidRDefault="002A2FE9" w:rsidP="002A2FE9">
            <w:pPr>
              <w:pStyle w:val="Default"/>
              <w:rPr>
                <w:b/>
                <w:bCs/>
              </w:rPr>
            </w:pPr>
            <w:r w:rsidRPr="002A2FE9">
              <w:rPr>
                <w:b/>
                <w:bCs/>
              </w:rPr>
              <w:t>2011</w:t>
            </w:r>
          </w:p>
        </w:tc>
        <w:tc>
          <w:tcPr>
            <w:tcW w:w="710" w:type="dxa"/>
            <w:tcBorders>
              <w:top w:val="nil"/>
              <w:left w:val="nil"/>
              <w:bottom w:val="single" w:sz="4" w:space="0" w:color="auto"/>
              <w:right w:val="single" w:sz="4" w:space="0" w:color="auto"/>
            </w:tcBorders>
            <w:shd w:val="clear" w:color="auto" w:fill="auto"/>
            <w:noWrap/>
            <w:vAlign w:val="bottom"/>
            <w:hideMark/>
          </w:tcPr>
          <w:p w14:paraId="3EF1D508" w14:textId="77777777" w:rsidR="002A2FE9" w:rsidRPr="002A2FE9" w:rsidRDefault="002A2FE9" w:rsidP="002A2FE9">
            <w:pPr>
              <w:pStyle w:val="Default"/>
              <w:rPr>
                <w:b/>
                <w:bCs/>
              </w:rPr>
            </w:pPr>
            <w:r w:rsidRPr="002A2FE9">
              <w:rPr>
                <w:b/>
                <w:bCs/>
              </w:rPr>
              <w:t>0</w:t>
            </w:r>
          </w:p>
        </w:tc>
        <w:tc>
          <w:tcPr>
            <w:tcW w:w="938" w:type="dxa"/>
            <w:tcBorders>
              <w:top w:val="nil"/>
              <w:left w:val="nil"/>
              <w:bottom w:val="single" w:sz="4" w:space="0" w:color="auto"/>
              <w:right w:val="single" w:sz="4" w:space="0" w:color="auto"/>
            </w:tcBorders>
            <w:shd w:val="clear" w:color="auto" w:fill="auto"/>
            <w:noWrap/>
            <w:vAlign w:val="bottom"/>
            <w:hideMark/>
          </w:tcPr>
          <w:p w14:paraId="5E865B3D" w14:textId="77777777" w:rsidR="002A2FE9" w:rsidRPr="002A2FE9" w:rsidRDefault="002A2FE9" w:rsidP="002A2FE9">
            <w:pPr>
              <w:pStyle w:val="Default"/>
              <w:rPr>
                <w:b/>
                <w:bCs/>
              </w:rPr>
            </w:pPr>
            <w:r w:rsidRPr="002A2FE9">
              <w:rPr>
                <w:b/>
                <w:bCs/>
              </w:rPr>
              <w:t>598</w:t>
            </w:r>
          </w:p>
        </w:tc>
        <w:tc>
          <w:tcPr>
            <w:tcW w:w="1136" w:type="dxa"/>
            <w:tcBorders>
              <w:top w:val="nil"/>
              <w:left w:val="nil"/>
              <w:bottom w:val="single" w:sz="4" w:space="0" w:color="auto"/>
              <w:right w:val="single" w:sz="4" w:space="0" w:color="auto"/>
            </w:tcBorders>
            <w:shd w:val="clear" w:color="auto" w:fill="auto"/>
            <w:noWrap/>
            <w:vAlign w:val="bottom"/>
            <w:hideMark/>
          </w:tcPr>
          <w:p w14:paraId="63670A00" w14:textId="77777777" w:rsidR="002A2FE9" w:rsidRPr="002A2FE9" w:rsidRDefault="002A2FE9" w:rsidP="002A2FE9">
            <w:pPr>
              <w:pStyle w:val="Default"/>
              <w:rPr>
                <w:b/>
                <w:bCs/>
              </w:rPr>
            </w:pPr>
            <w:r w:rsidRPr="002A2FE9">
              <w:rPr>
                <w:b/>
                <w:bCs/>
              </w:rPr>
              <w:t>18,617</w:t>
            </w:r>
          </w:p>
        </w:tc>
        <w:tc>
          <w:tcPr>
            <w:tcW w:w="938" w:type="dxa"/>
            <w:tcBorders>
              <w:top w:val="nil"/>
              <w:left w:val="nil"/>
              <w:bottom w:val="single" w:sz="4" w:space="0" w:color="auto"/>
              <w:right w:val="single" w:sz="4" w:space="0" w:color="auto"/>
            </w:tcBorders>
            <w:shd w:val="clear" w:color="auto" w:fill="auto"/>
            <w:noWrap/>
            <w:vAlign w:val="bottom"/>
            <w:hideMark/>
          </w:tcPr>
          <w:p w14:paraId="02F78FD9" w14:textId="77777777" w:rsidR="002A2FE9" w:rsidRPr="002A2FE9" w:rsidRDefault="002A2FE9" w:rsidP="002A2FE9">
            <w:pPr>
              <w:pStyle w:val="Default"/>
              <w:rPr>
                <w:b/>
                <w:bCs/>
              </w:rPr>
            </w:pPr>
            <w:r w:rsidRPr="002A2FE9">
              <w:rPr>
                <w:b/>
                <w:bCs/>
              </w:rPr>
              <w:t>1,157</w:t>
            </w:r>
          </w:p>
        </w:tc>
        <w:tc>
          <w:tcPr>
            <w:tcW w:w="1136" w:type="dxa"/>
            <w:tcBorders>
              <w:top w:val="nil"/>
              <w:left w:val="nil"/>
              <w:bottom w:val="single" w:sz="4" w:space="0" w:color="auto"/>
              <w:right w:val="single" w:sz="4" w:space="0" w:color="auto"/>
            </w:tcBorders>
            <w:shd w:val="clear" w:color="auto" w:fill="auto"/>
            <w:noWrap/>
            <w:vAlign w:val="bottom"/>
            <w:hideMark/>
          </w:tcPr>
          <w:p w14:paraId="6E56363F" w14:textId="77777777" w:rsidR="002A2FE9" w:rsidRPr="002A2FE9" w:rsidRDefault="002A2FE9" w:rsidP="002A2FE9">
            <w:pPr>
              <w:pStyle w:val="Default"/>
              <w:rPr>
                <w:b/>
                <w:bCs/>
              </w:rPr>
            </w:pPr>
            <w:r w:rsidRPr="002A2FE9">
              <w:rPr>
                <w:b/>
                <w:bCs/>
              </w:rPr>
              <w:t>20,372</w:t>
            </w:r>
          </w:p>
        </w:tc>
      </w:tr>
      <w:tr w:rsidR="002A2FE9" w:rsidRPr="002A2FE9" w14:paraId="68962A11" w14:textId="77777777" w:rsidTr="0086355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8F5C04" w14:textId="77777777" w:rsidR="002A2FE9" w:rsidRPr="002A2FE9" w:rsidRDefault="002A2FE9" w:rsidP="002A2FE9">
            <w:pPr>
              <w:pStyle w:val="Default"/>
              <w:rPr>
                <w:b/>
                <w:bCs/>
              </w:rPr>
            </w:pPr>
            <w:r w:rsidRPr="002A2FE9">
              <w:rPr>
                <w:b/>
                <w:bCs/>
              </w:rPr>
              <w:t>2012</w:t>
            </w:r>
          </w:p>
        </w:tc>
        <w:tc>
          <w:tcPr>
            <w:tcW w:w="710" w:type="dxa"/>
            <w:tcBorders>
              <w:top w:val="nil"/>
              <w:left w:val="nil"/>
              <w:bottom w:val="single" w:sz="4" w:space="0" w:color="auto"/>
              <w:right w:val="single" w:sz="4" w:space="0" w:color="auto"/>
            </w:tcBorders>
            <w:shd w:val="clear" w:color="auto" w:fill="auto"/>
            <w:noWrap/>
            <w:vAlign w:val="bottom"/>
            <w:hideMark/>
          </w:tcPr>
          <w:p w14:paraId="1AC9E1FE" w14:textId="77777777" w:rsidR="002A2FE9" w:rsidRPr="002A2FE9" w:rsidRDefault="002A2FE9" w:rsidP="002A2FE9">
            <w:pPr>
              <w:pStyle w:val="Default"/>
              <w:rPr>
                <w:b/>
                <w:bCs/>
              </w:rPr>
            </w:pPr>
            <w:r w:rsidRPr="002A2FE9">
              <w:rPr>
                <w:b/>
                <w:bCs/>
              </w:rPr>
              <w:t>0</w:t>
            </w:r>
          </w:p>
        </w:tc>
        <w:tc>
          <w:tcPr>
            <w:tcW w:w="938" w:type="dxa"/>
            <w:tcBorders>
              <w:top w:val="nil"/>
              <w:left w:val="nil"/>
              <w:bottom w:val="single" w:sz="4" w:space="0" w:color="auto"/>
              <w:right w:val="single" w:sz="4" w:space="0" w:color="auto"/>
            </w:tcBorders>
            <w:shd w:val="clear" w:color="auto" w:fill="auto"/>
            <w:noWrap/>
            <w:vAlign w:val="bottom"/>
            <w:hideMark/>
          </w:tcPr>
          <w:p w14:paraId="4DEF8D43" w14:textId="77777777" w:rsidR="002A2FE9" w:rsidRPr="002A2FE9" w:rsidRDefault="002A2FE9" w:rsidP="002A2FE9">
            <w:pPr>
              <w:pStyle w:val="Default"/>
              <w:rPr>
                <w:b/>
                <w:bCs/>
              </w:rPr>
            </w:pPr>
            <w:r w:rsidRPr="002A2FE9">
              <w:rPr>
                <w:b/>
                <w:bCs/>
              </w:rPr>
              <w:t>1,034</w:t>
            </w:r>
          </w:p>
        </w:tc>
        <w:tc>
          <w:tcPr>
            <w:tcW w:w="1136" w:type="dxa"/>
            <w:tcBorders>
              <w:top w:val="nil"/>
              <w:left w:val="nil"/>
              <w:bottom w:val="single" w:sz="4" w:space="0" w:color="auto"/>
              <w:right w:val="single" w:sz="4" w:space="0" w:color="auto"/>
            </w:tcBorders>
            <w:shd w:val="clear" w:color="auto" w:fill="auto"/>
            <w:noWrap/>
            <w:vAlign w:val="bottom"/>
            <w:hideMark/>
          </w:tcPr>
          <w:p w14:paraId="7A0B21D2" w14:textId="77777777" w:rsidR="002A2FE9" w:rsidRPr="002A2FE9" w:rsidRDefault="002A2FE9" w:rsidP="002A2FE9">
            <w:pPr>
              <w:pStyle w:val="Default"/>
              <w:rPr>
                <w:b/>
                <w:bCs/>
              </w:rPr>
            </w:pPr>
            <w:r w:rsidRPr="002A2FE9">
              <w:rPr>
                <w:b/>
                <w:bCs/>
              </w:rPr>
              <w:t>17,279</w:t>
            </w:r>
          </w:p>
        </w:tc>
        <w:tc>
          <w:tcPr>
            <w:tcW w:w="938" w:type="dxa"/>
            <w:tcBorders>
              <w:top w:val="nil"/>
              <w:left w:val="nil"/>
              <w:bottom w:val="single" w:sz="4" w:space="0" w:color="auto"/>
              <w:right w:val="single" w:sz="4" w:space="0" w:color="auto"/>
            </w:tcBorders>
            <w:shd w:val="clear" w:color="auto" w:fill="auto"/>
            <w:noWrap/>
            <w:vAlign w:val="bottom"/>
            <w:hideMark/>
          </w:tcPr>
          <w:p w14:paraId="181D775E" w14:textId="77777777" w:rsidR="002A2FE9" w:rsidRPr="002A2FE9" w:rsidRDefault="002A2FE9" w:rsidP="002A2FE9">
            <w:pPr>
              <w:pStyle w:val="Default"/>
              <w:rPr>
                <w:b/>
                <w:bCs/>
              </w:rPr>
            </w:pPr>
            <w:r w:rsidRPr="002A2FE9">
              <w:rPr>
                <w:b/>
                <w:bCs/>
              </w:rPr>
              <w:t>2,103</w:t>
            </w:r>
          </w:p>
        </w:tc>
        <w:tc>
          <w:tcPr>
            <w:tcW w:w="1136" w:type="dxa"/>
            <w:tcBorders>
              <w:top w:val="nil"/>
              <w:left w:val="nil"/>
              <w:bottom w:val="single" w:sz="4" w:space="0" w:color="auto"/>
              <w:right w:val="single" w:sz="4" w:space="0" w:color="auto"/>
            </w:tcBorders>
            <w:shd w:val="clear" w:color="auto" w:fill="auto"/>
            <w:noWrap/>
            <w:vAlign w:val="bottom"/>
            <w:hideMark/>
          </w:tcPr>
          <w:p w14:paraId="3D791136" w14:textId="77777777" w:rsidR="002A2FE9" w:rsidRPr="002A2FE9" w:rsidRDefault="002A2FE9" w:rsidP="002A2FE9">
            <w:pPr>
              <w:pStyle w:val="Default"/>
              <w:rPr>
                <w:b/>
                <w:bCs/>
              </w:rPr>
            </w:pPr>
            <w:r w:rsidRPr="002A2FE9">
              <w:rPr>
                <w:b/>
                <w:bCs/>
              </w:rPr>
              <w:t>20,417</w:t>
            </w:r>
          </w:p>
        </w:tc>
      </w:tr>
    </w:tbl>
    <w:p w14:paraId="20C91EF2" w14:textId="77777777" w:rsidR="00863553" w:rsidRDefault="00863553" w:rsidP="002A2FE9">
      <w:pPr>
        <w:pStyle w:val="Default"/>
        <w:rPr>
          <w:b/>
          <w:bCs/>
        </w:rPr>
      </w:pPr>
    </w:p>
    <w:p w14:paraId="5EB4E8B4" w14:textId="77777777" w:rsidR="00863553" w:rsidRDefault="00863553" w:rsidP="002A2FE9">
      <w:pPr>
        <w:pStyle w:val="Default"/>
        <w:rPr>
          <w:b/>
          <w:bCs/>
        </w:rPr>
      </w:pPr>
    </w:p>
    <w:p w14:paraId="4B338542" w14:textId="77777777" w:rsidR="00863553" w:rsidRDefault="00863553" w:rsidP="002A2FE9">
      <w:pPr>
        <w:pStyle w:val="Default"/>
        <w:rPr>
          <w:b/>
          <w:bCs/>
        </w:rPr>
      </w:pPr>
    </w:p>
    <w:p w14:paraId="128C10B1" w14:textId="77777777" w:rsidR="00863553" w:rsidRDefault="00863553" w:rsidP="002A2FE9">
      <w:pPr>
        <w:pStyle w:val="Default"/>
        <w:rPr>
          <w:b/>
          <w:bCs/>
        </w:rPr>
      </w:pPr>
    </w:p>
    <w:p w14:paraId="6DA6A569" w14:textId="77777777" w:rsidR="002A2FE9" w:rsidRPr="00863553" w:rsidRDefault="002A2FE9" w:rsidP="002A2FE9">
      <w:pPr>
        <w:pStyle w:val="Default"/>
        <w:rPr>
          <w:bCs/>
          <w:i/>
          <w:sz w:val="22"/>
          <w:szCs w:val="22"/>
        </w:rPr>
      </w:pPr>
      <w:r w:rsidRPr="00863553">
        <w:rPr>
          <w:b/>
          <w:bCs/>
          <w:i/>
          <w:sz w:val="22"/>
          <w:szCs w:val="22"/>
        </w:rPr>
        <w:t>Table 2.</w:t>
      </w:r>
      <w:r w:rsidRPr="00863553">
        <w:rPr>
          <w:bCs/>
          <w:i/>
          <w:sz w:val="22"/>
          <w:szCs w:val="22"/>
        </w:rPr>
        <w:t xml:space="preserve"> Annual Foreign longline catches in Tokelau waters from 2008 to 2012. (based on</w:t>
      </w:r>
      <w:r w:rsidR="00E27618" w:rsidRPr="00863553">
        <w:rPr>
          <w:bCs/>
          <w:i/>
          <w:sz w:val="22"/>
          <w:szCs w:val="22"/>
        </w:rPr>
        <w:t xml:space="preserve"> </w:t>
      </w:r>
      <w:r w:rsidRPr="00863553">
        <w:rPr>
          <w:bCs/>
          <w:i/>
          <w:sz w:val="22"/>
          <w:szCs w:val="22"/>
        </w:rPr>
        <w:t>raised logsheet data</w:t>
      </w:r>
    </w:p>
    <w:p w14:paraId="2D2495D2" w14:textId="77777777" w:rsidR="00E27618" w:rsidRPr="00E27618" w:rsidRDefault="00E27618" w:rsidP="002A2FE9">
      <w:pPr>
        <w:pStyle w:val="Default"/>
        <w:rPr>
          <w:b/>
          <w:bCs/>
        </w:rPr>
      </w:pPr>
    </w:p>
    <w:tbl>
      <w:tblPr>
        <w:tblW w:w="5761" w:type="dxa"/>
        <w:tblInd w:w="93" w:type="dxa"/>
        <w:tblLook w:val="04A0" w:firstRow="1" w:lastRow="0" w:firstColumn="1" w:lastColumn="0" w:noHBand="0" w:noVBand="1"/>
      </w:tblPr>
      <w:tblGrid>
        <w:gridCol w:w="960"/>
        <w:gridCol w:w="877"/>
        <w:gridCol w:w="865"/>
        <w:gridCol w:w="749"/>
        <w:gridCol w:w="865"/>
        <w:gridCol w:w="1445"/>
      </w:tblGrid>
      <w:tr w:rsidR="002A2FE9" w:rsidRPr="002A2FE9" w14:paraId="4E59308F" w14:textId="77777777" w:rsidTr="005C743F">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F9469AF" w14:textId="77777777" w:rsidR="002A2FE9" w:rsidRPr="002A2FE9" w:rsidRDefault="002A2FE9" w:rsidP="002A2FE9">
            <w:pPr>
              <w:pStyle w:val="Default"/>
              <w:rPr>
                <w:bCs/>
              </w:rPr>
            </w:pPr>
            <w:r w:rsidRPr="002A2FE9">
              <w:rPr>
                <w:bCs/>
              </w:rPr>
              <w:t>Year</w:t>
            </w:r>
          </w:p>
        </w:tc>
        <w:tc>
          <w:tcPr>
            <w:tcW w:w="4801" w:type="dxa"/>
            <w:gridSpan w:val="5"/>
            <w:tcBorders>
              <w:top w:val="single" w:sz="4" w:space="0" w:color="auto"/>
              <w:left w:val="nil"/>
              <w:bottom w:val="single" w:sz="4" w:space="0" w:color="auto"/>
              <w:right w:val="single" w:sz="4" w:space="0" w:color="auto"/>
            </w:tcBorders>
            <w:shd w:val="clear" w:color="000000" w:fill="FCD5B4"/>
            <w:noWrap/>
            <w:vAlign w:val="bottom"/>
            <w:hideMark/>
          </w:tcPr>
          <w:p w14:paraId="2BA75AF5" w14:textId="77777777" w:rsidR="002A2FE9" w:rsidRPr="002A2FE9" w:rsidRDefault="002A2FE9" w:rsidP="002A2FE9">
            <w:pPr>
              <w:pStyle w:val="Default"/>
              <w:rPr>
                <w:bCs/>
              </w:rPr>
            </w:pPr>
            <w:r w:rsidRPr="002A2FE9">
              <w:rPr>
                <w:bCs/>
              </w:rPr>
              <w:t>CATCH (metric tonnes)</w:t>
            </w:r>
          </w:p>
        </w:tc>
      </w:tr>
      <w:tr w:rsidR="002A2FE9" w:rsidRPr="002A2FE9" w14:paraId="4BF27FE3" w14:textId="77777777" w:rsidTr="005C743F">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EA8C9B2" w14:textId="77777777" w:rsidR="002A2FE9" w:rsidRPr="002A2FE9" w:rsidRDefault="002A2FE9" w:rsidP="002A2FE9">
            <w:pPr>
              <w:pStyle w:val="Default"/>
              <w:rPr>
                <w:bCs/>
              </w:rPr>
            </w:pPr>
          </w:p>
        </w:tc>
        <w:tc>
          <w:tcPr>
            <w:tcW w:w="877" w:type="dxa"/>
            <w:tcBorders>
              <w:top w:val="nil"/>
              <w:left w:val="nil"/>
              <w:bottom w:val="single" w:sz="4" w:space="0" w:color="auto"/>
              <w:right w:val="single" w:sz="4" w:space="0" w:color="auto"/>
            </w:tcBorders>
            <w:shd w:val="clear" w:color="000000" w:fill="FCD5B4"/>
            <w:noWrap/>
            <w:vAlign w:val="bottom"/>
            <w:hideMark/>
          </w:tcPr>
          <w:p w14:paraId="3C4E9325" w14:textId="77777777" w:rsidR="002A2FE9" w:rsidRPr="002A2FE9" w:rsidRDefault="002A2FE9" w:rsidP="002A2FE9">
            <w:pPr>
              <w:pStyle w:val="Default"/>
              <w:rPr>
                <w:bCs/>
              </w:rPr>
            </w:pPr>
            <w:r w:rsidRPr="002A2FE9">
              <w:rPr>
                <w:bCs/>
              </w:rPr>
              <w:t>ALB</w:t>
            </w:r>
          </w:p>
        </w:tc>
        <w:tc>
          <w:tcPr>
            <w:tcW w:w="865" w:type="dxa"/>
            <w:tcBorders>
              <w:top w:val="nil"/>
              <w:left w:val="nil"/>
              <w:bottom w:val="single" w:sz="4" w:space="0" w:color="auto"/>
              <w:right w:val="single" w:sz="4" w:space="0" w:color="auto"/>
            </w:tcBorders>
            <w:shd w:val="clear" w:color="000000" w:fill="FCD5B4"/>
            <w:noWrap/>
            <w:vAlign w:val="bottom"/>
            <w:hideMark/>
          </w:tcPr>
          <w:p w14:paraId="2D6FD858" w14:textId="77777777" w:rsidR="002A2FE9" w:rsidRPr="002A2FE9" w:rsidRDefault="002A2FE9" w:rsidP="002A2FE9">
            <w:pPr>
              <w:pStyle w:val="Default"/>
              <w:rPr>
                <w:bCs/>
              </w:rPr>
            </w:pPr>
            <w:r w:rsidRPr="002A2FE9">
              <w:rPr>
                <w:bCs/>
              </w:rPr>
              <w:t>BET</w:t>
            </w:r>
          </w:p>
        </w:tc>
        <w:tc>
          <w:tcPr>
            <w:tcW w:w="749" w:type="dxa"/>
            <w:tcBorders>
              <w:top w:val="nil"/>
              <w:left w:val="nil"/>
              <w:bottom w:val="single" w:sz="4" w:space="0" w:color="auto"/>
              <w:right w:val="single" w:sz="4" w:space="0" w:color="auto"/>
            </w:tcBorders>
            <w:shd w:val="clear" w:color="000000" w:fill="FCD5B4"/>
            <w:noWrap/>
            <w:vAlign w:val="bottom"/>
            <w:hideMark/>
          </w:tcPr>
          <w:p w14:paraId="36CB8302" w14:textId="77777777" w:rsidR="002A2FE9" w:rsidRPr="002A2FE9" w:rsidRDefault="002A2FE9" w:rsidP="002A2FE9">
            <w:pPr>
              <w:pStyle w:val="Default"/>
              <w:rPr>
                <w:bCs/>
              </w:rPr>
            </w:pPr>
            <w:r w:rsidRPr="002A2FE9">
              <w:rPr>
                <w:bCs/>
              </w:rPr>
              <w:t>SKJ</w:t>
            </w:r>
          </w:p>
        </w:tc>
        <w:tc>
          <w:tcPr>
            <w:tcW w:w="865" w:type="dxa"/>
            <w:tcBorders>
              <w:top w:val="nil"/>
              <w:left w:val="nil"/>
              <w:bottom w:val="single" w:sz="4" w:space="0" w:color="auto"/>
              <w:right w:val="single" w:sz="4" w:space="0" w:color="auto"/>
            </w:tcBorders>
            <w:shd w:val="clear" w:color="000000" w:fill="FCD5B4"/>
            <w:noWrap/>
            <w:vAlign w:val="bottom"/>
            <w:hideMark/>
          </w:tcPr>
          <w:p w14:paraId="386DB1CD" w14:textId="77777777" w:rsidR="002A2FE9" w:rsidRPr="002A2FE9" w:rsidRDefault="002A2FE9" w:rsidP="002A2FE9">
            <w:pPr>
              <w:pStyle w:val="Default"/>
              <w:rPr>
                <w:bCs/>
              </w:rPr>
            </w:pPr>
            <w:r w:rsidRPr="002A2FE9">
              <w:rPr>
                <w:bCs/>
              </w:rPr>
              <w:t>YFT</w:t>
            </w:r>
          </w:p>
        </w:tc>
        <w:tc>
          <w:tcPr>
            <w:tcW w:w="1445" w:type="dxa"/>
            <w:tcBorders>
              <w:top w:val="nil"/>
              <w:left w:val="nil"/>
              <w:bottom w:val="single" w:sz="4" w:space="0" w:color="auto"/>
              <w:right w:val="single" w:sz="4" w:space="0" w:color="auto"/>
            </w:tcBorders>
            <w:shd w:val="clear" w:color="000000" w:fill="FCD5B4"/>
            <w:noWrap/>
            <w:vAlign w:val="bottom"/>
            <w:hideMark/>
          </w:tcPr>
          <w:p w14:paraId="634AE9A6" w14:textId="77777777" w:rsidR="002A2FE9" w:rsidRPr="002A2FE9" w:rsidRDefault="002A2FE9" w:rsidP="002A2FE9">
            <w:pPr>
              <w:pStyle w:val="Default"/>
              <w:rPr>
                <w:bCs/>
              </w:rPr>
            </w:pPr>
            <w:r w:rsidRPr="002A2FE9">
              <w:rPr>
                <w:bCs/>
              </w:rPr>
              <w:t>TOTAL</w:t>
            </w:r>
          </w:p>
        </w:tc>
      </w:tr>
      <w:tr w:rsidR="002A2FE9" w:rsidRPr="002A2FE9" w14:paraId="017095D7" w14:textId="77777777" w:rsidTr="005C743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210799" w14:textId="77777777" w:rsidR="002A2FE9" w:rsidRPr="002A2FE9" w:rsidRDefault="002A2FE9" w:rsidP="002A2FE9">
            <w:pPr>
              <w:pStyle w:val="Default"/>
              <w:rPr>
                <w:bCs/>
              </w:rPr>
            </w:pPr>
            <w:r w:rsidRPr="002A2FE9">
              <w:rPr>
                <w:bCs/>
              </w:rPr>
              <w:t>2008</w:t>
            </w:r>
          </w:p>
        </w:tc>
        <w:tc>
          <w:tcPr>
            <w:tcW w:w="877" w:type="dxa"/>
            <w:tcBorders>
              <w:top w:val="nil"/>
              <w:left w:val="nil"/>
              <w:bottom w:val="single" w:sz="4" w:space="0" w:color="auto"/>
              <w:right w:val="single" w:sz="4" w:space="0" w:color="auto"/>
            </w:tcBorders>
            <w:shd w:val="clear" w:color="auto" w:fill="auto"/>
            <w:noWrap/>
            <w:vAlign w:val="bottom"/>
            <w:hideMark/>
          </w:tcPr>
          <w:p w14:paraId="5B2D5425" w14:textId="77777777" w:rsidR="002A2FE9" w:rsidRPr="002A2FE9" w:rsidRDefault="002A2FE9" w:rsidP="002A2FE9">
            <w:pPr>
              <w:pStyle w:val="Default"/>
              <w:rPr>
                <w:bCs/>
              </w:rPr>
            </w:pPr>
            <w:r w:rsidRPr="002A2FE9">
              <w:rPr>
                <w:bCs/>
              </w:rPr>
              <w:t>33</w:t>
            </w:r>
          </w:p>
        </w:tc>
        <w:tc>
          <w:tcPr>
            <w:tcW w:w="865" w:type="dxa"/>
            <w:tcBorders>
              <w:top w:val="nil"/>
              <w:left w:val="nil"/>
              <w:bottom w:val="single" w:sz="4" w:space="0" w:color="auto"/>
              <w:right w:val="single" w:sz="4" w:space="0" w:color="auto"/>
            </w:tcBorders>
            <w:shd w:val="clear" w:color="auto" w:fill="auto"/>
            <w:noWrap/>
            <w:vAlign w:val="bottom"/>
            <w:hideMark/>
          </w:tcPr>
          <w:p w14:paraId="7501E7EE" w14:textId="77777777" w:rsidR="002A2FE9" w:rsidRPr="002A2FE9" w:rsidRDefault="002A2FE9" w:rsidP="002A2FE9">
            <w:pPr>
              <w:pStyle w:val="Default"/>
              <w:rPr>
                <w:bCs/>
              </w:rPr>
            </w:pPr>
            <w:r w:rsidRPr="002A2FE9">
              <w:rPr>
                <w:bCs/>
              </w:rPr>
              <w:t>11</w:t>
            </w:r>
          </w:p>
        </w:tc>
        <w:tc>
          <w:tcPr>
            <w:tcW w:w="749" w:type="dxa"/>
            <w:tcBorders>
              <w:top w:val="nil"/>
              <w:left w:val="nil"/>
              <w:bottom w:val="single" w:sz="4" w:space="0" w:color="auto"/>
              <w:right w:val="single" w:sz="4" w:space="0" w:color="auto"/>
            </w:tcBorders>
            <w:shd w:val="clear" w:color="auto" w:fill="auto"/>
            <w:noWrap/>
            <w:vAlign w:val="bottom"/>
            <w:hideMark/>
          </w:tcPr>
          <w:p w14:paraId="652B8327" w14:textId="77777777" w:rsidR="002A2FE9" w:rsidRPr="002A2FE9" w:rsidRDefault="002A2FE9" w:rsidP="002A2FE9">
            <w:pPr>
              <w:pStyle w:val="Default"/>
              <w:rPr>
                <w:bCs/>
              </w:rPr>
            </w:pPr>
            <w:r w:rsidRPr="002A2FE9">
              <w:rPr>
                <w:bCs/>
              </w:rPr>
              <w:t>0</w:t>
            </w:r>
          </w:p>
        </w:tc>
        <w:tc>
          <w:tcPr>
            <w:tcW w:w="865" w:type="dxa"/>
            <w:tcBorders>
              <w:top w:val="nil"/>
              <w:left w:val="nil"/>
              <w:bottom w:val="single" w:sz="4" w:space="0" w:color="auto"/>
              <w:right w:val="single" w:sz="4" w:space="0" w:color="auto"/>
            </w:tcBorders>
            <w:shd w:val="clear" w:color="auto" w:fill="auto"/>
            <w:noWrap/>
            <w:vAlign w:val="bottom"/>
            <w:hideMark/>
          </w:tcPr>
          <w:p w14:paraId="51536C5F" w14:textId="77777777" w:rsidR="002A2FE9" w:rsidRPr="002A2FE9" w:rsidRDefault="002A2FE9" w:rsidP="002A2FE9">
            <w:pPr>
              <w:pStyle w:val="Default"/>
              <w:rPr>
                <w:bCs/>
              </w:rPr>
            </w:pPr>
            <w:r w:rsidRPr="002A2FE9">
              <w:rPr>
                <w:bCs/>
              </w:rPr>
              <w:t>3</w:t>
            </w:r>
          </w:p>
        </w:tc>
        <w:tc>
          <w:tcPr>
            <w:tcW w:w="1445" w:type="dxa"/>
            <w:tcBorders>
              <w:top w:val="nil"/>
              <w:left w:val="nil"/>
              <w:bottom w:val="single" w:sz="4" w:space="0" w:color="auto"/>
              <w:right w:val="single" w:sz="4" w:space="0" w:color="auto"/>
            </w:tcBorders>
            <w:shd w:val="clear" w:color="auto" w:fill="auto"/>
            <w:noWrap/>
            <w:vAlign w:val="bottom"/>
            <w:hideMark/>
          </w:tcPr>
          <w:p w14:paraId="0871665C" w14:textId="77777777" w:rsidR="002A2FE9" w:rsidRPr="002A2FE9" w:rsidRDefault="002A2FE9" w:rsidP="002A2FE9">
            <w:pPr>
              <w:pStyle w:val="Default"/>
              <w:rPr>
                <w:bCs/>
              </w:rPr>
            </w:pPr>
            <w:r w:rsidRPr="002A2FE9">
              <w:rPr>
                <w:bCs/>
              </w:rPr>
              <w:t>47</w:t>
            </w:r>
          </w:p>
        </w:tc>
      </w:tr>
      <w:tr w:rsidR="002A2FE9" w:rsidRPr="002A2FE9" w14:paraId="1DA6B649" w14:textId="77777777" w:rsidTr="005C743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311858" w14:textId="77777777" w:rsidR="002A2FE9" w:rsidRPr="002A2FE9" w:rsidRDefault="002A2FE9" w:rsidP="002A2FE9">
            <w:pPr>
              <w:pStyle w:val="Default"/>
              <w:rPr>
                <w:bCs/>
              </w:rPr>
            </w:pPr>
            <w:r w:rsidRPr="002A2FE9">
              <w:rPr>
                <w:bCs/>
              </w:rPr>
              <w:t>2009</w:t>
            </w:r>
          </w:p>
        </w:tc>
        <w:tc>
          <w:tcPr>
            <w:tcW w:w="877" w:type="dxa"/>
            <w:tcBorders>
              <w:top w:val="nil"/>
              <w:left w:val="nil"/>
              <w:bottom w:val="single" w:sz="4" w:space="0" w:color="auto"/>
              <w:right w:val="single" w:sz="4" w:space="0" w:color="auto"/>
            </w:tcBorders>
            <w:shd w:val="clear" w:color="auto" w:fill="auto"/>
            <w:noWrap/>
            <w:vAlign w:val="bottom"/>
            <w:hideMark/>
          </w:tcPr>
          <w:p w14:paraId="117FCD80" w14:textId="77777777" w:rsidR="002A2FE9" w:rsidRPr="002A2FE9" w:rsidRDefault="002A2FE9" w:rsidP="002A2FE9">
            <w:pPr>
              <w:pStyle w:val="Default"/>
              <w:rPr>
                <w:bCs/>
              </w:rPr>
            </w:pPr>
            <w:r w:rsidRPr="002A2FE9">
              <w:rPr>
                <w:bCs/>
              </w:rPr>
              <w:t> </w:t>
            </w:r>
          </w:p>
        </w:tc>
        <w:tc>
          <w:tcPr>
            <w:tcW w:w="865" w:type="dxa"/>
            <w:tcBorders>
              <w:top w:val="nil"/>
              <w:left w:val="nil"/>
              <w:bottom w:val="single" w:sz="4" w:space="0" w:color="auto"/>
              <w:right w:val="single" w:sz="4" w:space="0" w:color="auto"/>
            </w:tcBorders>
            <w:shd w:val="clear" w:color="auto" w:fill="auto"/>
            <w:noWrap/>
            <w:vAlign w:val="bottom"/>
            <w:hideMark/>
          </w:tcPr>
          <w:p w14:paraId="6EFB6B28" w14:textId="77777777" w:rsidR="002A2FE9" w:rsidRPr="002A2FE9" w:rsidRDefault="002A2FE9" w:rsidP="002A2FE9">
            <w:pPr>
              <w:pStyle w:val="Default"/>
              <w:rPr>
                <w:bCs/>
              </w:rPr>
            </w:pPr>
            <w:r w:rsidRPr="002A2FE9">
              <w:rPr>
                <w:bCs/>
              </w:rPr>
              <w:t> </w:t>
            </w:r>
          </w:p>
        </w:tc>
        <w:tc>
          <w:tcPr>
            <w:tcW w:w="749" w:type="dxa"/>
            <w:tcBorders>
              <w:top w:val="nil"/>
              <w:left w:val="nil"/>
              <w:bottom w:val="single" w:sz="4" w:space="0" w:color="auto"/>
              <w:right w:val="single" w:sz="4" w:space="0" w:color="auto"/>
            </w:tcBorders>
            <w:shd w:val="clear" w:color="auto" w:fill="auto"/>
            <w:noWrap/>
            <w:vAlign w:val="bottom"/>
            <w:hideMark/>
          </w:tcPr>
          <w:p w14:paraId="3E4ADE8F" w14:textId="77777777" w:rsidR="002A2FE9" w:rsidRPr="002A2FE9" w:rsidRDefault="002A2FE9" w:rsidP="002A2FE9">
            <w:pPr>
              <w:pStyle w:val="Default"/>
              <w:rPr>
                <w:bCs/>
              </w:rPr>
            </w:pPr>
            <w:r w:rsidRPr="002A2FE9">
              <w:rPr>
                <w:bCs/>
              </w:rPr>
              <w:t> </w:t>
            </w:r>
          </w:p>
        </w:tc>
        <w:tc>
          <w:tcPr>
            <w:tcW w:w="865" w:type="dxa"/>
            <w:tcBorders>
              <w:top w:val="nil"/>
              <w:left w:val="nil"/>
              <w:bottom w:val="single" w:sz="4" w:space="0" w:color="auto"/>
              <w:right w:val="single" w:sz="4" w:space="0" w:color="auto"/>
            </w:tcBorders>
            <w:shd w:val="clear" w:color="auto" w:fill="auto"/>
            <w:noWrap/>
            <w:vAlign w:val="bottom"/>
            <w:hideMark/>
          </w:tcPr>
          <w:p w14:paraId="5948E5B2" w14:textId="77777777" w:rsidR="002A2FE9" w:rsidRPr="002A2FE9" w:rsidRDefault="002A2FE9" w:rsidP="002A2FE9">
            <w:pPr>
              <w:pStyle w:val="Default"/>
              <w:rPr>
                <w:bCs/>
              </w:rPr>
            </w:pPr>
            <w:r w:rsidRPr="002A2FE9">
              <w:rPr>
                <w:bCs/>
              </w:rPr>
              <w:t> </w:t>
            </w:r>
          </w:p>
        </w:tc>
        <w:tc>
          <w:tcPr>
            <w:tcW w:w="1445" w:type="dxa"/>
            <w:tcBorders>
              <w:top w:val="nil"/>
              <w:left w:val="nil"/>
              <w:bottom w:val="single" w:sz="4" w:space="0" w:color="auto"/>
              <w:right w:val="single" w:sz="4" w:space="0" w:color="auto"/>
            </w:tcBorders>
            <w:shd w:val="clear" w:color="auto" w:fill="auto"/>
            <w:noWrap/>
            <w:vAlign w:val="bottom"/>
            <w:hideMark/>
          </w:tcPr>
          <w:p w14:paraId="5CA0BE05" w14:textId="77777777" w:rsidR="002A2FE9" w:rsidRPr="002A2FE9" w:rsidRDefault="002A2FE9" w:rsidP="002A2FE9">
            <w:pPr>
              <w:pStyle w:val="Default"/>
              <w:rPr>
                <w:bCs/>
              </w:rPr>
            </w:pPr>
            <w:r w:rsidRPr="002A2FE9">
              <w:rPr>
                <w:bCs/>
              </w:rPr>
              <w:t> </w:t>
            </w:r>
          </w:p>
        </w:tc>
      </w:tr>
      <w:tr w:rsidR="002A2FE9" w:rsidRPr="002A2FE9" w14:paraId="6AA486DA" w14:textId="77777777" w:rsidTr="005C743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ABDAA6" w14:textId="77777777" w:rsidR="002A2FE9" w:rsidRPr="002A2FE9" w:rsidRDefault="002A2FE9" w:rsidP="002A2FE9">
            <w:pPr>
              <w:pStyle w:val="Default"/>
              <w:rPr>
                <w:bCs/>
              </w:rPr>
            </w:pPr>
            <w:r w:rsidRPr="002A2FE9">
              <w:rPr>
                <w:bCs/>
              </w:rPr>
              <w:t>2010</w:t>
            </w:r>
          </w:p>
        </w:tc>
        <w:tc>
          <w:tcPr>
            <w:tcW w:w="877" w:type="dxa"/>
            <w:tcBorders>
              <w:top w:val="nil"/>
              <w:left w:val="nil"/>
              <w:bottom w:val="single" w:sz="4" w:space="0" w:color="auto"/>
              <w:right w:val="single" w:sz="4" w:space="0" w:color="auto"/>
            </w:tcBorders>
            <w:shd w:val="clear" w:color="auto" w:fill="auto"/>
            <w:noWrap/>
            <w:vAlign w:val="bottom"/>
            <w:hideMark/>
          </w:tcPr>
          <w:p w14:paraId="1EEFDAC3" w14:textId="77777777" w:rsidR="002A2FE9" w:rsidRPr="002A2FE9" w:rsidRDefault="002A2FE9" w:rsidP="002A2FE9">
            <w:pPr>
              <w:pStyle w:val="Default"/>
              <w:rPr>
                <w:bCs/>
              </w:rPr>
            </w:pPr>
            <w:r w:rsidRPr="002A2FE9">
              <w:rPr>
                <w:bCs/>
              </w:rPr>
              <w:t> </w:t>
            </w:r>
          </w:p>
        </w:tc>
        <w:tc>
          <w:tcPr>
            <w:tcW w:w="865" w:type="dxa"/>
            <w:tcBorders>
              <w:top w:val="nil"/>
              <w:left w:val="nil"/>
              <w:bottom w:val="single" w:sz="4" w:space="0" w:color="auto"/>
              <w:right w:val="single" w:sz="4" w:space="0" w:color="auto"/>
            </w:tcBorders>
            <w:shd w:val="clear" w:color="auto" w:fill="auto"/>
            <w:noWrap/>
            <w:vAlign w:val="bottom"/>
            <w:hideMark/>
          </w:tcPr>
          <w:p w14:paraId="72A8371D" w14:textId="77777777" w:rsidR="002A2FE9" w:rsidRPr="002A2FE9" w:rsidRDefault="002A2FE9" w:rsidP="002A2FE9">
            <w:pPr>
              <w:pStyle w:val="Default"/>
              <w:rPr>
                <w:bCs/>
              </w:rPr>
            </w:pPr>
            <w:r w:rsidRPr="002A2FE9">
              <w:rPr>
                <w:bCs/>
              </w:rPr>
              <w:t> </w:t>
            </w:r>
          </w:p>
        </w:tc>
        <w:tc>
          <w:tcPr>
            <w:tcW w:w="749" w:type="dxa"/>
            <w:tcBorders>
              <w:top w:val="nil"/>
              <w:left w:val="nil"/>
              <w:bottom w:val="single" w:sz="4" w:space="0" w:color="auto"/>
              <w:right w:val="single" w:sz="4" w:space="0" w:color="auto"/>
            </w:tcBorders>
            <w:shd w:val="clear" w:color="auto" w:fill="auto"/>
            <w:noWrap/>
            <w:vAlign w:val="bottom"/>
            <w:hideMark/>
          </w:tcPr>
          <w:p w14:paraId="3A57504B" w14:textId="77777777" w:rsidR="002A2FE9" w:rsidRPr="002A2FE9" w:rsidRDefault="002A2FE9" w:rsidP="002A2FE9">
            <w:pPr>
              <w:pStyle w:val="Default"/>
              <w:rPr>
                <w:bCs/>
              </w:rPr>
            </w:pPr>
            <w:r w:rsidRPr="002A2FE9">
              <w:rPr>
                <w:bCs/>
              </w:rPr>
              <w:t> </w:t>
            </w:r>
          </w:p>
        </w:tc>
        <w:tc>
          <w:tcPr>
            <w:tcW w:w="865" w:type="dxa"/>
            <w:tcBorders>
              <w:top w:val="nil"/>
              <w:left w:val="nil"/>
              <w:bottom w:val="single" w:sz="4" w:space="0" w:color="auto"/>
              <w:right w:val="single" w:sz="4" w:space="0" w:color="auto"/>
            </w:tcBorders>
            <w:shd w:val="clear" w:color="auto" w:fill="auto"/>
            <w:noWrap/>
            <w:vAlign w:val="bottom"/>
            <w:hideMark/>
          </w:tcPr>
          <w:p w14:paraId="42B0115B" w14:textId="77777777" w:rsidR="002A2FE9" w:rsidRPr="002A2FE9" w:rsidRDefault="002A2FE9" w:rsidP="002A2FE9">
            <w:pPr>
              <w:pStyle w:val="Default"/>
              <w:rPr>
                <w:bCs/>
              </w:rPr>
            </w:pPr>
            <w:r w:rsidRPr="002A2FE9">
              <w:rPr>
                <w:bCs/>
              </w:rPr>
              <w:t> </w:t>
            </w:r>
          </w:p>
        </w:tc>
        <w:tc>
          <w:tcPr>
            <w:tcW w:w="1445" w:type="dxa"/>
            <w:tcBorders>
              <w:top w:val="nil"/>
              <w:left w:val="nil"/>
              <w:bottom w:val="single" w:sz="4" w:space="0" w:color="auto"/>
              <w:right w:val="single" w:sz="4" w:space="0" w:color="auto"/>
            </w:tcBorders>
            <w:shd w:val="clear" w:color="auto" w:fill="auto"/>
            <w:noWrap/>
            <w:vAlign w:val="bottom"/>
            <w:hideMark/>
          </w:tcPr>
          <w:p w14:paraId="7796AE2A" w14:textId="77777777" w:rsidR="002A2FE9" w:rsidRPr="002A2FE9" w:rsidRDefault="002A2FE9" w:rsidP="002A2FE9">
            <w:pPr>
              <w:pStyle w:val="Default"/>
              <w:rPr>
                <w:bCs/>
              </w:rPr>
            </w:pPr>
            <w:r w:rsidRPr="002A2FE9">
              <w:rPr>
                <w:bCs/>
              </w:rPr>
              <w:t> </w:t>
            </w:r>
          </w:p>
        </w:tc>
      </w:tr>
      <w:tr w:rsidR="002A2FE9" w:rsidRPr="002A2FE9" w14:paraId="192BE8E9" w14:textId="77777777" w:rsidTr="005C743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D6544D" w14:textId="77777777" w:rsidR="002A2FE9" w:rsidRPr="002A2FE9" w:rsidRDefault="002A2FE9" w:rsidP="002A2FE9">
            <w:pPr>
              <w:pStyle w:val="Default"/>
              <w:rPr>
                <w:bCs/>
              </w:rPr>
            </w:pPr>
            <w:r w:rsidRPr="002A2FE9">
              <w:rPr>
                <w:bCs/>
              </w:rPr>
              <w:t>2011</w:t>
            </w:r>
          </w:p>
        </w:tc>
        <w:tc>
          <w:tcPr>
            <w:tcW w:w="877" w:type="dxa"/>
            <w:tcBorders>
              <w:top w:val="nil"/>
              <w:left w:val="nil"/>
              <w:bottom w:val="single" w:sz="4" w:space="0" w:color="auto"/>
              <w:right w:val="single" w:sz="4" w:space="0" w:color="auto"/>
            </w:tcBorders>
            <w:shd w:val="clear" w:color="auto" w:fill="auto"/>
            <w:noWrap/>
            <w:vAlign w:val="bottom"/>
            <w:hideMark/>
          </w:tcPr>
          <w:p w14:paraId="6D6CF885" w14:textId="77777777" w:rsidR="002A2FE9" w:rsidRPr="002A2FE9" w:rsidRDefault="002A2FE9" w:rsidP="002A2FE9">
            <w:pPr>
              <w:pStyle w:val="Default"/>
              <w:rPr>
                <w:bCs/>
              </w:rPr>
            </w:pPr>
            <w:r w:rsidRPr="002A2FE9">
              <w:rPr>
                <w:bCs/>
              </w:rPr>
              <w:t>76</w:t>
            </w:r>
          </w:p>
        </w:tc>
        <w:tc>
          <w:tcPr>
            <w:tcW w:w="865" w:type="dxa"/>
            <w:tcBorders>
              <w:top w:val="nil"/>
              <w:left w:val="nil"/>
              <w:bottom w:val="single" w:sz="4" w:space="0" w:color="auto"/>
              <w:right w:val="single" w:sz="4" w:space="0" w:color="auto"/>
            </w:tcBorders>
            <w:shd w:val="clear" w:color="auto" w:fill="auto"/>
            <w:noWrap/>
            <w:vAlign w:val="bottom"/>
            <w:hideMark/>
          </w:tcPr>
          <w:p w14:paraId="0886EB66" w14:textId="77777777" w:rsidR="002A2FE9" w:rsidRPr="002A2FE9" w:rsidRDefault="002A2FE9" w:rsidP="002A2FE9">
            <w:pPr>
              <w:pStyle w:val="Default"/>
              <w:rPr>
                <w:bCs/>
              </w:rPr>
            </w:pPr>
            <w:r w:rsidRPr="002A2FE9">
              <w:rPr>
                <w:bCs/>
              </w:rPr>
              <w:t>106</w:t>
            </w:r>
          </w:p>
        </w:tc>
        <w:tc>
          <w:tcPr>
            <w:tcW w:w="749" w:type="dxa"/>
            <w:tcBorders>
              <w:top w:val="nil"/>
              <w:left w:val="nil"/>
              <w:bottom w:val="single" w:sz="4" w:space="0" w:color="auto"/>
              <w:right w:val="single" w:sz="4" w:space="0" w:color="auto"/>
            </w:tcBorders>
            <w:shd w:val="clear" w:color="auto" w:fill="auto"/>
            <w:noWrap/>
            <w:vAlign w:val="bottom"/>
            <w:hideMark/>
          </w:tcPr>
          <w:p w14:paraId="3B015CE1" w14:textId="77777777" w:rsidR="002A2FE9" w:rsidRPr="002A2FE9" w:rsidRDefault="002A2FE9" w:rsidP="002A2FE9">
            <w:pPr>
              <w:pStyle w:val="Default"/>
              <w:rPr>
                <w:bCs/>
              </w:rPr>
            </w:pPr>
            <w:r w:rsidRPr="002A2FE9">
              <w:rPr>
                <w:bCs/>
              </w:rPr>
              <w:t>0</w:t>
            </w:r>
          </w:p>
        </w:tc>
        <w:tc>
          <w:tcPr>
            <w:tcW w:w="865" w:type="dxa"/>
            <w:tcBorders>
              <w:top w:val="nil"/>
              <w:left w:val="nil"/>
              <w:bottom w:val="single" w:sz="4" w:space="0" w:color="auto"/>
              <w:right w:val="single" w:sz="4" w:space="0" w:color="auto"/>
            </w:tcBorders>
            <w:shd w:val="clear" w:color="auto" w:fill="auto"/>
            <w:noWrap/>
            <w:vAlign w:val="bottom"/>
            <w:hideMark/>
          </w:tcPr>
          <w:p w14:paraId="3E54FFC0" w14:textId="77777777" w:rsidR="002A2FE9" w:rsidRPr="002A2FE9" w:rsidRDefault="002A2FE9" w:rsidP="002A2FE9">
            <w:pPr>
              <w:pStyle w:val="Default"/>
              <w:rPr>
                <w:bCs/>
              </w:rPr>
            </w:pPr>
            <w:r w:rsidRPr="002A2FE9">
              <w:rPr>
                <w:bCs/>
              </w:rPr>
              <w:t>100</w:t>
            </w:r>
          </w:p>
        </w:tc>
        <w:tc>
          <w:tcPr>
            <w:tcW w:w="1445" w:type="dxa"/>
            <w:tcBorders>
              <w:top w:val="nil"/>
              <w:left w:val="nil"/>
              <w:bottom w:val="single" w:sz="4" w:space="0" w:color="auto"/>
              <w:right w:val="single" w:sz="4" w:space="0" w:color="auto"/>
            </w:tcBorders>
            <w:shd w:val="clear" w:color="auto" w:fill="auto"/>
            <w:noWrap/>
            <w:vAlign w:val="bottom"/>
            <w:hideMark/>
          </w:tcPr>
          <w:p w14:paraId="5DE444AF" w14:textId="77777777" w:rsidR="002A2FE9" w:rsidRPr="002A2FE9" w:rsidRDefault="002A2FE9" w:rsidP="002A2FE9">
            <w:pPr>
              <w:pStyle w:val="Default"/>
              <w:rPr>
                <w:bCs/>
              </w:rPr>
            </w:pPr>
            <w:r w:rsidRPr="002A2FE9">
              <w:rPr>
                <w:bCs/>
              </w:rPr>
              <w:t>282</w:t>
            </w:r>
          </w:p>
        </w:tc>
      </w:tr>
      <w:tr w:rsidR="002A2FE9" w:rsidRPr="002A2FE9" w14:paraId="2C730F9A" w14:textId="77777777" w:rsidTr="005C743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92E55F" w14:textId="77777777" w:rsidR="002A2FE9" w:rsidRPr="002A2FE9" w:rsidRDefault="002A2FE9" w:rsidP="002A2FE9">
            <w:pPr>
              <w:pStyle w:val="Default"/>
              <w:rPr>
                <w:bCs/>
              </w:rPr>
            </w:pPr>
            <w:r w:rsidRPr="002A2FE9">
              <w:rPr>
                <w:bCs/>
              </w:rPr>
              <w:t>2012</w:t>
            </w:r>
          </w:p>
        </w:tc>
        <w:tc>
          <w:tcPr>
            <w:tcW w:w="877" w:type="dxa"/>
            <w:tcBorders>
              <w:top w:val="nil"/>
              <w:left w:val="nil"/>
              <w:bottom w:val="single" w:sz="4" w:space="0" w:color="auto"/>
              <w:right w:val="single" w:sz="4" w:space="0" w:color="auto"/>
            </w:tcBorders>
            <w:shd w:val="clear" w:color="auto" w:fill="auto"/>
            <w:noWrap/>
            <w:vAlign w:val="bottom"/>
            <w:hideMark/>
          </w:tcPr>
          <w:p w14:paraId="5276463A" w14:textId="77777777" w:rsidR="002A2FE9" w:rsidRPr="002A2FE9" w:rsidRDefault="002A2FE9" w:rsidP="002A2FE9">
            <w:pPr>
              <w:pStyle w:val="Default"/>
              <w:rPr>
                <w:bCs/>
              </w:rPr>
            </w:pPr>
            <w:r w:rsidRPr="002A2FE9">
              <w:rPr>
                <w:bCs/>
              </w:rPr>
              <w:t>93</w:t>
            </w:r>
          </w:p>
        </w:tc>
        <w:tc>
          <w:tcPr>
            <w:tcW w:w="865" w:type="dxa"/>
            <w:tcBorders>
              <w:top w:val="nil"/>
              <w:left w:val="nil"/>
              <w:bottom w:val="single" w:sz="4" w:space="0" w:color="auto"/>
              <w:right w:val="single" w:sz="4" w:space="0" w:color="auto"/>
            </w:tcBorders>
            <w:shd w:val="clear" w:color="auto" w:fill="auto"/>
            <w:noWrap/>
            <w:vAlign w:val="bottom"/>
            <w:hideMark/>
          </w:tcPr>
          <w:p w14:paraId="1E70FB4F" w14:textId="77777777" w:rsidR="002A2FE9" w:rsidRPr="002A2FE9" w:rsidRDefault="002A2FE9" w:rsidP="002A2FE9">
            <w:pPr>
              <w:pStyle w:val="Default"/>
              <w:rPr>
                <w:bCs/>
              </w:rPr>
            </w:pPr>
            <w:r w:rsidRPr="002A2FE9">
              <w:rPr>
                <w:bCs/>
              </w:rPr>
              <w:t>47</w:t>
            </w:r>
          </w:p>
        </w:tc>
        <w:tc>
          <w:tcPr>
            <w:tcW w:w="749" w:type="dxa"/>
            <w:tcBorders>
              <w:top w:val="nil"/>
              <w:left w:val="nil"/>
              <w:bottom w:val="single" w:sz="4" w:space="0" w:color="auto"/>
              <w:right w:val="single" w:sz="4" w:space="0" w:color="auto"/>
            </w:tcBorders>
            <w:shd w:val="clear" w:color="auto" w:fill="auto"/>
            <w:noWrap/>
            <w:vAlign w:val="bottom"/>
            <w:hideMark/>
          </w:tcPr>
          <w:p w14:paraId="6F65D02D" w14:textId="77777777" w:rsidR="002A2FE9" w:rsidRPr="002A2FE9" w:rsidRDefault="002A2FE9" w:rsidP="002A2FE9">
            <w:pPr>
              <w:pStyle w:val="Default"/>
              <w:rPr>
                <w:bCs/>
              </w:rPr>
            </w:pPr>
            <w:r w:rsidRPr="002A2FE9">
              <w:rPr>
                <w:bCs/>
              </w:rPr>
              <w:t>0</w:t>
            </w:r>
          </w:p>
        </w:tc>
        <w:tc>
          <w:tcPr>
            <w:tcW w:w="865" w:type="dxa"/>
            <w:tcBorders>
              <w:top w:val="nil"/>
              <w:left w:val="nil"/>
              <w:bottom w:val="single" w:sz="4" w:space="0" w:color="auto"/>
              <w:right w:val="single" w:sz="4" w:space="0" w:color="auto"/>
            </w:tcBorders>
            <w:shd w:val="clear" w:color="auto" w:fill="auto"/>
            <w:noWrap/>
            <w:vAlign w:val="bottom"/>
            <w:hideMark/>
          </w:tcPr>
          <w:p w14:paraId="2FF03D51" w14:textId="77777777" w:rsidR="002A2FE9" w:rsidRPr="002A2FE9" w:rsidRDefault="002A2FE9" w:rsidP="002A2FE9">
            <w:pPr>
              <w:pStyle w:val="Default"/>
              <w:rPr>
                <w:bCs/>
              </w:rPr>
            </w:pPr>
            <w:r w:rsidRPr="002A2FE9">
              <w:rPr>
                <w:bCs/>
              </w:rPr>
              <w:t>55</w:t>
            </w:r>
          </w:p>
        </w:tc>
        <w:tc>
          <w:tcPr>
            <w:tcW w:w="1445" w:type="dxa"/>
            <w:tcBorders>
              <w:top w:val="nil"/>
              <w:left w:val="nil"/>
              <w:bottom w:val="single" w:sz="4" w:space="0" w:color="auto"/>
              <w:right w:val="single" w:sz="4" w:space="0" w:color="auto"/>
            </w:tcBorders>
            <w:shd w:val="clear" w:color="auto" w:fill="auto"/>
            <w:noWrap/>
            <w:vAlign w:val="bottom"/>
            <w:hideMark/>
          </w:tcPr>
          <w:p w14:paraId="2E6D26B7" w14:textId="77777777" w:rsidR="002A2FE9" w:rsidRPr="002A2FE9" w:rsidRDefault="002A2FE9" w:rsidP="002A2FE9">
            <w:pPr>
              <w:pStyle w:val="Default"/>
              <w:rPr>
                <w:bCs/>
              </w:rPr>
            </w:pPr>
            <w:r w:rsidRPr="002A2FE9">
              <w:rPr>
                <w:bCs/>
              </w:rPr>
              <w:t>195</w:t>
            </w:r>
          </w:p>
        </w:tc>
      </w:tr>
    </w:tbl>
    <w:p w14:paraId="552A479C" w14:textId="77777777" w:rsidR="002A2FE9" w:rsidRPr="002A2FE9" w:rsidRDefault="002A2FE9" w:rsidP="002A2FE9">
      <w:pPr>
        <w:pStyle w:val="Default"/>
        <w:rPr>
          <w:bCs/>
        </w:rPr>
      </w:pPr>
    </w:p>
    <w:p w14:paraId="5209FC25" w14:textId="77777777" w:rsidR="00142434" w:rsidRPr="00142434" w:rsidRDefault="00142434" w:rsidP="00C8418C">
      <w:pPr>
        <w:pStyle w:val="Default"/>
        <w:rPr>
          <w:bCs/>
          <w:sz w:val="22"/>
          <w:szCs w:val="22"/>
        </w:rPr>
      </w:pPr>
    </w:p>
    <w:p w14:paraId="641AF46D" w14:textId="77777777" w:rsidR="00142434" w:rsidRPr="00142434" w:rsidRDefault="00142434" w:rsidP="00C8418C">
      <w:pPr>
        <w:pStyle w:val="Default"/>
        <w:rPr>
          <w:bCs/>
          <w:sz w:val="22"/>
          <w:szCs w:val="22"/>
        </w:rPr>
      </w:pPr>
    </w:p>
    <w:p w14:paraId="576385D0" w14:textId="77777777" w:rsidR="00142434" w:rsidRPr="00142434" w:rsidRDefault="00142434" w:rsidP="00C8418C">
      <w:pPr>
        <w:pStyle w:val="Default"/>
        <w:rPr>
          <w:bCs/>
          <w:sz w:val="22"/>
          <w:szCs w:val="22"/>
        </w:rPr>
      </w:pPr>
    </w:p>
    <w:p w14:paraId="20115A9A" w14:textId="77777777" w:rsidR="005C743F" w:rsidRDefault="005C743F" w:rsidP="00C8418C">
      <w:pPr>
        <w:pStyle w:val="Default"/>
        <w:rPr>
          <w:bCs/>
          <w:sz w:val="22"/>
          <w:szCs w:val="22"/>
        </w:rPr>
      </w:pPr>
    </w:p>
    <w:p w14:paraId="54CD77D9" w14:textId="77777777" w:rsidR="00142434" w:rsidRPr="00142434" w:rsidRDefault="005C743F" w:rsidP="00C8418C">
      <w:pPr>
        <w:pStyle w:val="Default"/>
        <w:rPr>
          <w:bCs/>
          <w:sz w:val="22"/>
          <w:szCs w:val="22"/>
        </w:rPr>
      </w:pPr>
      <w:r>
        <w:rPr>
          <w:bCs/>
          <w:noProof/>
          <w:sz w:val="22"/>
          <w:szCs w:val="22"/>
          <w:lang w:val="en-NZ" w:eastAsia="en-NZ"/>
        </w:rPr>
        <w:drawing>
          <wp:inline distT="0" distB="0" distL="0" distR="0" wp14:anchorId="438DE2B8" wp14:editId="353F7D65">
            <wp:extent cx="5730875" cy="2432685"/>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2432685"/>
                    </a:xfrm>
                    <a:prstGeom prst="rect">
                      <a:avLst/>
                    </a:prstGeom>
                    <a:noFill/>
                  </pic:spPr>
                </pic:pic>
              </a:graphicData>
            </a:graphic>
          </wp:inline>
        </w:drawing>
      </w:r>
    </w:p>
    <w:p w14:paraId="697B989F" w14:textId="77777777" w:rsidR="00142434" w:rsidRPr="00142434" w:rsidRDefault="00142434" w:rsidP="00C8418C">
      <w:pPr>
        <w:pStyle w:val="Default"/>
        <w:rPr>
          <w:bCs/>
          <w:sz w:val="22"/>
          <w:szCs w:val="22"/>
        </w:rPr>
      </w:pPr>
    </w:p>
    <w:p w14:paraId="459AEEF7" w14:textId="77777777" w:rsidR="005C743F" w:rsidRPr="00863553" w:rsidRDefault="005C743F" w:rsidP="005C743F">
      <w:pPr>
        <w:autoSpaceDE w:val="0"/>
        <w:autoSpaceDN w:val="0"/>
        <w:adjustRightInd w:val="0"/>
        <w:spacing w:after="0" w:line="240" w:lineRule="auto"/>
        <w:rPr>
          <w:rFonts w:ascii="Times New Roman" w:hAnsi="Times New Roman" w:cs="Times New Roman"/>
          <w:bCs/>
          <w:i/>
          <w:color w:val="000000"/>
        </w:rPr>
      </w:pPr>
      <w:r w:rsidRPr="00863553">
        <w:rPr>
          <w:rFonts w:ascii="Times New Roman" w:hAnsi="Times New Roman" w:cs="Times New Roman"/>
          <w:b/>
          <w:bCs/>
          <w:i/>
          <w:color w:val="000000"/>
        </w:rPr>
        <w:t>Figure 1</w:t>
      </w:r>
      <w:r w:rsidRPr="00863553">
        <w:rPr>
          <w:rFonts w:ascii="Times New Roman" w:hAnsi="Times New Roman" w:cs="Times New Roman"/>
          <w:bCs/>
          <w:i/>
          <w:color w:val="000000"/>
        </w:rPr>
        <w:t>.  Annual tuna species catches by US purse seine vessels in Tokelau waters, 1990-2012</w:t>
      </w:r>
    </w:p>
    <w:p w14:paraId="63CE6673" w14:textId="2E7FA09D" w:rsidR="00863553" w:rsidRDefault="00863553">
      <w:pPr>
        <w:rPr>
          <w:rFonts w:ascii="Times New Roman" w:hAnsi="Times New Roman" w:cs="Times New Roman"/>
          <w:bCs/>
          <w:color w:val="000000"/>
        </w:rPr>
      </w:pPr>
      <w:r>
        <w:rPr>
          <w:bCs/>
        </w:rPr>
        <w:br w:type="page"/>
      </w:r>
    </w:p>
    <w:p w14:paraId="714172B6" w14:textId="77777777" w:rsidR="00142434" w:rsidRPr="00142434" w:rsidRDefault="00142434" w:rsidP="00C8418C">
      <w:pPr>
        <w:pStyle w:val="Default"/>
        <w:rPr>
          <w:bCs/>
          <w:sz w:val="22"/>
          <w:szCs w:val="22"/>
        </w:rPr>
      </w:pPr>
    </w:p>
    <w:p w14:paraId="2B97DFFA" w14:textId="77777777" w:rsidR="005C743F" w:rsidRPr="005C743F" w:rsidRDefault="005C743F" w:rsidP="005C743F">
      <w:pPr>
        <w:jc w:val="center"/>
      </w:pPr>
      <w:r w:rsidRPr="005C743F">
        <w:object w:dxaOrig="10650" w:dyaOrig="7200" w14:anchorId="5FBA4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75pt;height:229.5pt" o:ole="">
            <v:imagedata r:id="rId9" o:title=""/>
          </v:shape>
          <o:OLEObject Type="Embed" ProgID="Unknown" ShapeID="_x0000_i1025" DrawAspect="Content" ObjectID="_1434650497" r:id="rId10"/>
        </w:object>
      </w:r>
    </w:p>
    <w:p w14:paraId="7C784F16" w14:textId="77777777" w:rsidR="005C743F" w:rsidRPr="00863553" w:rsidRDefault="005C743F" w:rsidP="005C743F">
      <w:pPr>
        <w:autoSpaceDE w:val="0"/>
        <w:autoSpaceDN w:val="0"/>
        <w:adjustRightInd w:val="0"/>
        <w:spacing w:after="0" w:line="240" w:lineRule="auto"/>
        <w:rPr>
          <w:rFonts w:ascii="Times New Roman" w:hAnsi="Times New Roman" w:cs="Times New Roman"/>
          <w:bCs/>
          <w:i/>
          <w:color w:val="000000"/>
        </w:rPr>
      </w:pPr>
      <w:r w:rsidRPr="00863553">
        <w:rPr>
          <w:rFonts w:ascii="Times New Roman" w:hAnsi="Times New Roman" w:cs="Times New Roman"/>
          <w:b/>
          <w:bCs/>
          <w:i/>
          <w:color w:val="000000"/>
        </w:rPr>
        <w:t>Figure 2</w:t>
      </w:r>
      <w:r w:rsidRPr="00863553">
        <w:rPr>
          <w:rFonts w:ascii="Times New Roman" w:hAnsi="Times New Roman" w:cs="Times New Roman"/>
          <w:bCs/>
          <w:i/>
          <w:color w:val="000000"/>
        </w:rPr>
        <w:t>.  Distribution of tuna species catches by US purse seine vessels in Tokelau waters, 2012</w:t>
      </w:r>
    </w:p>
    <w:p w14:paraId="65484698" w14:textId="77777777" w:rsidR="00863553" w:rsidRDefault="00863553" w:rsidP="00863553">
      <w:pPr>
        <w:pStyle w:val="Default"/>
        <w:rPr>
          <w:b/>
          <w:bCs/>
          <w:i/>
          <w:lang w:val="en-NZ"/>
        </w:rPr>
      </w:pPr>
    </w:p>
    <w:p w14:paraId="44C8A30E" w14:textId="77777777" w:rsidR="00C23964" w:rsidRDefault="00C23964" w:rsidP="00863553">
      <w:pPr>
        <w:pStyle w:val="Default"/>
        <w:rPr>
          <w:b/>
          <w:bCs/>
          <w:i/>
        </w:rPr>
      </w:pPr>
    </w:p>
    <w:p w14:paraId="20250376" w14:textId="77777777" w:rsidR="00863553" w:rsidRPr="00863553" w:rsidRDefault="00863553" w:rsidP="00863553">
      <w:pPr>
        <w:pStyle w:val="Default"/>
        <w:rPr>
          <w:b/>
          <w:bCs/>
          <w:i/>
        </w:rPr>
      </w:pPr>
      <w:r w:rsidRPr="00863553">
        <w:rPr>
          <w:b/>
          <w:bCs/>
          <w:i/>
        </w:rPr>
        <w:t xml:space="preserve">National Fleet – Artisanal Tuna Fishery.  </w:t>
      </w:r>
    </w:p>
    <w:p w14:paraId="470288A1" w14:textId="77777777" w:rsidR="00863553" w:rsidRPr="00863553" w:rsidRDefault="00863553" w:rsidP="00863553">
      <w:pPr>
        <w:pStyle w:val="Default"/>
        <w:rPr>
          <w:bCs/>
          <w:lang w:val="en-NZ"/>
        </w:rPr>
      </w:pPr>
      <w:r w:rsidRPr="00863553">
        <w:rPr>
          <w:bCs/>
          <w:lang w:val="en-NZ"/>
        </w:rPr>
        <w:t>This consists of small aluminium boats/dinghies ranging from 12 – 16 ft in length with power outputs ranging from 15 – 30hp outboard motors. The artisanal fishery is primarily for local consumption and uses troll and handline methods targeting mainly skipjack and yellowfin tuna.</w:t>
      </w:r>
    </w:p>
    <w:p w14:paraId="47405C42" w14:textId="77777777" w:rsidR="00863553" w:rsidRPr="00863553" w:rsidRDefault="00863553" w:rsidP="00863553">
      <w:pPr>
        <w:pStyle w:val="Default"/>
        <w:rPr>
          <w:bCs/>
          <w:lang w:val="en-NZ"/>
        </w:rPr>
      </w:pPr>
    </w:p>
    <w:p w14:paraId="0B202CAB" w14:textId="77777777" w:rsidR="00863553" w:rsidRPr="00863553" w:rsidRDefault="00863553" w:rsidP="00863553">
      <w:pPr>
        <w:pStyle w:val="Default"/>
        <w:rPr>
          <w:bCs/>
          <w:lang w:val="en-NZ"/>
        </w:rPr>
      </w:pPr>
      <w:r w:rsidRPr="00863553">
        <w:rPr>
          <w:bCs/>
          <w:lang w:val="en-NZ"/>
        </w:rPr>
        <w:t>Most artisanal fishing activities in Tokelau waters occur within 4 nautical miles from shore. Domestic fisheries development in Tokelau is severely constrained by market access and lack of infrastructure, and the Government is committed to developing strategies that will provide opportunities for participation in small-scale commercial tuna fishery developments.</w:t>
      </w:r>
    </w:p>
    <w:p w14:paraId="6C5E43AE" w14:textId="77777777" w:rsidR="00863553" w:rsidRPr="00863553" w:rsidRDefault="00863553" w:rsidP="00863553">
      <w:pPr>
        <w:pStyle w:val="Default"/>
        <w:rPr>
          <w:bCs/>
          <w:lang w:val="en-NZ"/>
        </w:rPr>
      </w:pPr>
    </w:p>
    <w:p w14:paraId="775766D0" w14:textId="77777777" w:rsidR="00863553" w:rsidRPr="00863553" w:rsidRDefault="00863553" w:rsidP="00863553">
      <w:pPr>
        <w:pStyle w:val="Default"/>
        <w:rPr>
          <w:bCs/>
          <w:lang w:val="en-NZ"/>
        </w:rPr>
      </w:pPr>
      <w:r w:rsidRPr="00863553">
        <w:rPr>
          <w:bCs/>
          <w:lang w:val="en-NZ"/>
        </w:rPr>
        <w:t>Due to lack of data collected from the artisanal fishery, the following table however provides an estimated annual catch and effort by the Tokelau artisanal fleet from 2008 to 2012. The SPC Artisanal Catch Forms are now being used in the hope it will help improve data collection.</w:t>
      </w:r>
    </w:p>
    <w:p w14:paraId="6F103C76" w14:textId="77777777" w:rsidR="00863553" w:rsidRPr="00863553" w:rsidRDefault="00863553" w:rsidP="00863553">
      <w:pPr>
        <w:pStyle w:val="Default"/>
        <w:rPr>
          <w:b/>
          <w:bCs/>
        </w:rPr>
      </w:pPr>
    </w:p>
    <w:p w14:paraId="237B38E4" w14:textId="77777777" w:rsidR="00CB222F" w:rsidRDefault="00CB222F" w:rsidP="00863553">
      <w:pPr>
        <w:pStyle w:val="Default"/>
        <w:rPr>
          <w:b/>
          <w:bCs/>
          <w:i/>
          <w:sz w:val="22"/>
          <w:szCs w:val="22"/>
        </w:rPr>
      </w:pPr>
    </w:p>
    <w:p w14:paraId="49424E48" w14:textId="77777777" w:rsidR="00CB222F" w:rsidRDefault="00CB222F" w:rsidP="00863553">
      <w:pPr>
        <w:pStyle w:val="Default"/>
        <w:rPr>
          <w:b/>
          <w:bCs/>
          <w:i/>
          <w:sz w:val="22"/>
          <w:szCs w:val="22"/>
        </w:rPr>
      </w:pPr>
    </w:p>
    <w:p w14:paraId="0FC1F6A0" w14:textId="77777777" w:rsidR="00CB222F" w:rsidRDefault="00CB222F" w:rsidP="00863553">
      <w:pPr>
        <w:pStyle w:val="Default"/>
        <w:rPr>
          <w:b/>
          <w:bCs/>
          <w:i/>
          <w:sz w:val="22"/>
          <w:szCs w:val="22"/>
        </w:rPr>
      </w:pPr>
    </w:p>
    <w:p w14:paraId="1F1F2321" w14:textId="77777777" w:rsidR="00CB222F" w:rsidRDefault="00CB222F" w:rsidP="00863553">
      <w:pPr>
        <w:pStyle w:val="Default"/>
        <w:rPr>
          <w:b/>
          <w:bCs/>
          <w:i/>
          <w:sz w:val="22"/>
          <w:szCs w:val="22"/>
        </w:rPr>
      </w:pPr>
    </w:p>
    <w:p w14:paraId="08937C03" w14:textId="77777777" w:rsidR="00CB222F" w:rsidRDefault="00CB222F" w:rsidP="00863553">
      <w:pPr>
        <w:pStyle w:val="Default"/>
        <w:rPr>
          <w:b/>
          <w:bCs/>
          <w:i/>
          <w:sz w:val="22"/>
          <w:szCs w:val="22"/>
        </w:rPr>
      </w:pPr>
    </w:p>
    <w:p w14:paraId="1D093C75" w14:textId="77777777" w:rsidR="00CB222F" w:rsidRDefault="00CB222F" w:rsidP="00863553">
      <w:pPr>
        <w:pStyle w:val="Default"/>
        <w:rPr>
          <w:b/>
          <w:bCs/>
          <w:i/>
          <w:sz w:val="22"/>
          <w:szCs w:val="22"/>
        </w:rPr>
      </w:pPr>
    </w:p>
    <w:p w14:paraId="06612548" w14:textId="77777777" w:rsidR="00CB222F" w:rsidRDefault="00CB222F" w:rsidP="00863553">
      <w:pPr>
        <w:pStyle w:val="Default"/>
        <w:rPr>
          <w:b/>
          <w:bCs/>
          <w:i/>
          <w:sz w:val="22"/>
          <w:szCs w:val="22"/>
        </w:rPr>
      </w:pPr>
    </w:p>
    <w:p w14:paraId="57DFE74A" w14:textId="77777777" w:rsidR="00CB222F" w:rsidRDefault="00CB222F" w:rsidP="00863553">
      <w:pPr>
        <w:pStyle w:val="Default"/>
        <w:rPr>
          <w:b/>
          <w:bCs/>
          <w:i/>
          <w:sz w:val="22"/>
          <w:szCs w:val="22"/>
        </w:rPr>
      </w:pPr>
    </w:p>
    <w:p w14:paraId="43B8DB33" w14:textId="77777777" w:rsidR="00CB222F" w:rsidRDefault="00CB222F" w:rsidP="00863553">
      <w:pPr>
        <w:pStyle w:val="Default"/>
        <w:rPr>
          <w:b/>
          <w:bCs/>
          <w:i/>
          <w:sz w:val="22"/>
          <w:szCs w:val="22"/>
        </w:rPr>
      </w:pPr>
    </w:p>
    <w:p w14:paraId="25BDFAC9" w14:textId="77777777" w:rsidR="00CB222F" w:rsidRDefault="00CB222F" w:rsidP="00863553">
      <w:pPr>
        <w:pStyle w:val="Default"/>
        <w:rPr>
          <w:b/>
          <w:bCs/>
          <w:i/>
          <w:sz w:val="22"/>
          <w:szCs w:val="22"/>
        </w:rPr>
      </w:pPr>
    </w:p>
    <w:p w14:paraId="044AC0E6" w14:textId="77777777" w:rsidR="00CB222F" w:rsidRDefault="00CB222F" w:rsidP="00863553">
      <w:pPr>
        <w:pStyle w:val="Default"/>
        <w:rPr>
          <w:b/>
          <w:bCs/>
          <w:i/>
          <w:sz w:val="22"/>
          <w:szCs w:val="22"/>
        </w:rPr>
      </w:pPr>
    </w:p>
    <w:p w14:paraId="42D6DCCB" w14:textId="77777777" w:rsidR="00CB222F" w:rsidRDefault="00CB222F" w:rsidP="00863553">
      <w:pPr>
        <w:pStyle w:val="Default"/>
        <w:rPr>
          <w:b/>
          <w:bCs/>
          <w:i/>
          <w:sz w:val="22"/>
          <w:szCs w:val="22"/>
        </w:rPr>
      </w:pPr>
    </w:p>
    <w:p w14:paraId="47E13C26" w14:textId="77777777" w:rsidR="00CB222F" w:rsidRDefault="00CB222F" w:rsidP="00863553">
      <w:pPr>
        <w:pStyle w:val="Default"/>
        <w:rPr>
          <w:b/>
          <w:bCs/>
          <w:i/>
          <w:sz w:val="22"/>
          <w:szCs w:val="22"/>
        </w:rPr>
      </w:pPr>
    </w:p>
    <w:p w14:paraId="26CD66EE" w14:textId="77777777" w:rsidR="00CB222F" w:rsidRDefault="00CB222F" w:rsidP="00863553">
      <w:pPr>
        <w:pStyle w:val="Default"/>
        <w:rPr>
          <w:b/>
          <w:bCs/>
          <w:i/>
          <w:sz w:val="22"/>
          <w:szCs w:val="22"/>
        </w:rPr>
      </w:pPr>
    </w:p>
    <w:p w14:paraId="30F28C3B" w14:textId="77777777" w:rsidR="00CB222F" w:rsidRDefault="00CB222F" w:rsidP="00863553">
      <w:pPr>
        <w:pStyle w:val="Default"/>
        <w:rPr>
          <w:b/>
          <w:bCs/>
          <w:i/>
          <w:sz w:val="22"/>
          <w:szCs w:val="22"/>
        </w:rPr>
      </w:pPr>
    </w:p>
    <w:p w14:paraId="60300D7D" w14:textId="77777777" w:rsidR="00863553" w:rsidRPr="00863553" w:rsidRDefault="00863553" w:rsidP="00863553">
      <w:pPr>
        <w:pStyle w:val="Default"/>
        <w:rPr>
          <w:bCs/>
          <w:i/>
          <w:sz w:val="22"/>
          <w:szCs w:val="22"/>
        </w:rPr>
      </w:pPr>
      <w:r w:rsidRPr="00863553">
        <w:rPr>
          <w:b/>
          <w:bCs/>
          <w:i/>
          <w:sz w:val="22"/>
          <w:szCs w:val="22"/>
        </w:rPr>
        <w:t>Table 3</w:t>
      </w:r>
      <w:r w:rsidRPr="00863553">
        <w:rPr>
          <w:bCs/>
          <w:i/>
          <w:sz w:val="22"/>
          <w:szCs w:val="22"/>
        </w:rPr>
        <w:t>.  Estimated Artisanal tuna catches in Tokelau waters, 2012</w:t>
      </w:r>
    </w:p>
    <w:p w14:paraId="2E82573E" w14:textId="77777777" w:rsidR="00863553" w:rsidRPr="00863553" w:rsidRDefault="00863553" w:rsidP="00863553">
      <w:pPr>
        <w:pStyle w:val="Default"/>
        <w:rPr>
          <w:b/>
          <w:bCs/>
        </w:rPr>
      </w:pPr>
    </w:p>
    <w:tbl>
      <w:tblPr>
        <w:tblW w:w="6421" w:type="dxa"/>
        <w:tblInd w:w="93" w:type="dxa"/>
        <w:tblLook w:val="04A0" w:firstRow="1" w:lastRow="0" w:firstColumn="1" w:lastColumn="0" w:noHBand="0" w:noVBand="1"/>
      </w:tblPr>
      <w:tblGrid>
        <w:gridCol w:w="1120"/>
        <w:gridCol w:w="1460"/>
        <w:gridCol w:w="997"/>
        <w:gridCol w:w="997"/>
        <w:gridCol w:w="876"/>
        <w:gridCol w:w="1057"/>
      </w:tblGrid>
      <w:tr w:rsidR="00863553" w:rsidRPr="00863553" w14:paraId="0996E53B" w14:textId="77777777" w:rsidTr="00F03AD7">
        <w:trPr>
          <w:trHeight w:val="255"/>
        </w:trPr>
        <w:tc>
          <w:tcPr>
            <w:tcW w:w="1120" w:type="dxa"/>
            <w:vMerge w:val="restart"/>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5959AF67" w14:textId="77777777" w:rsidR="00863553" w:rsidRPr="00863553" w:rsidRDefault="00863553" w:rsidP="00863553">
            <w:pPr>
              <w:pStyle w:val="Default"/>
              <w:rPr>
                <w:b/>
                <w:bCs/>
              </w:rPr>
            </w:pPr>
            <w:r w:rsidRPr="00863553">
              <w:rPr>
                <w:b/>
                <w:bCs/>
              </w:rPr>
              <w:t>Year</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60AAE000" w14:textId="77777777" w:rsidR="00863553" w:rsidRPr="00863553" w:rsidRDefault="00863553" w:rsidP="00863553">
            <w:pPr>
              <w:pStyle w:val="Default"/>
              <w:rPr>
                <w:b/>
                <w:bCs/>
              </w:rPr>
            </w:pPr>
            <w:r w:rsidRPr="00863553">
              <w:rPr>
                <w:b/>
                <w:bCs/>
              </w:rPr>
              <w:t>Month</w:t>
            </w:r>
          </w:p>
        </w:tc>
        <w:tc>
          <w:tcPr>
            <w:tcW w:w="3841" w:type="dxa"/>
            <w:gridSpan w:val="4"/>
            <w:tcBorders>
              <w:top w:val="single" w:sz="4" w:space="0" w:color="auto"/>
              <w:left w:val="nil"/>
              <w:bottom w:val="single" w:sz="4" w:space="0" w:color="auto"/>
              <w:right w:val="single" w:sz="4" w:space="0" w:color="auto"/>
            </w:tcBorders>
            <w:shd w:val="clear" w:color="000000" w:fill="FABF8F"/>
            <w:noWrap/>
            <w:vAlign w:val="center"/>
            <w:hideMark/>
          </w:tcPr>
          <w:p w14:paraId="16605B2F" w14:textId="77777777" w:rsidR="00863553" w:rsidRPr="00863553" w:rsidRDefault="00863553" w:rsidP="00863553">
            <w:pPr>
              <w:pStyle w:val="Default"/>
              <w:rPr>
                <w:b/>
                <w:bCs/>
              </w:rPr>
            </w:pPr>
            <w:r w:rsidRPr="00863553">
              <w:rPr>
                <w:b/>
                <w:bCs/>
              </w:rPr>
              <w:t>RAISED CATCH (kgs)</w:t>
            </w:r>
          </w:p>
        </w:tc>
      </w:tr>
      <w:tr w:rsidR="00863553" w:rsidRPr="00863553" w14:paraId="27CD7202" w14:textId="77777777" w:rsidTr="00F03AD7">
        <w:trPr>
          <w:trHeight w:val="810"/>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7CE4C306" w14:textId="77777777" w:rsidR="00863553" w:rsidRPr="00863553" w:rsidRDefault="00863553" w:rsidP="00863553">
            <w:pPr>
              <w:pStyle w:val="Default"/>
              <w:rPr>
                <w:b/>
                <w:bCs/>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6F1ABF07" w14:textId="77777777" w:rsidR="00863553" w:rsidRPr="00863553" w:rsidRDefault="00863553" w:rsidP="00863553">
            <w:pPr>
              <w:pStyle w:val="Default"/>
              <w:rPr>
                <w:b/>
                <w:bCs/>
              </w:rPr>
            </w:pPr>
          </w:p>
        </w:tc>
        <w:tc>
          <w:tcPr>
            <w:tcW w:w="997" w:type="dxa"/>
            <w:tcBorders>
              <w:top w:val="nil"/>
              <w:left w:val="nil"/>
              <w:bottom w:val="single" w:sz="4" w:space="0" w:color="auto"/>
              <w:right w:val="single" w:sz="4" w:space="0" w:color="auto"/>
            </w:tcBorders>
            <w:shd w:val="clear" w:color="000000" w:fill="FABF8F"/>
            <w:noWrap/>
            <w:vAlign w:val="center"/>
            <w:hideMark/>
          </w:tcPr>
          <w:p w14:paraId="701F6780" w14:textId="77777777" w:rsidR="00863553" w:rsidRPr="00863553" w:rsidRDefault="00863553" w:rsidP="00863553">
            <w:pPr>
              <w:pStyle w:val="Default"/>
              <w:rPr>
                <w:b/>
                <w:bCs/>
              </w:rPr>
            </w:pPr>
            <w:r w:rsidRPr="00863553">
              <w:rPr>
                <w:b/>
                <w:bCs/>
              </w:rPr>
              <w:t>SKJ</w:t>
            </w:r>
          </w:p>
        </w:tc>
        <w:tc>
          <w:tcPr>
            <w:tcW w:w="997" w:type="dxa"/>
            <w:tcBorders>
              <w:top w:val="nil"/>
              <w:left w:val="nil"/>
              <w:bottom w:val="single" w:sz="4" w:space="0" w:color="auto"/>
              <w:right w:val="single" w:sz="4" w:space="0" w:color="auto"/>
            </w:tcBorders>
            <w:shd w:val="clear" w:color="000000" w:fill="FABF8F"/>
            <w:noWrap/>
            <w:vAlign w:val="center"/>
            <w:hideMark/>
          </w:tcPr>
          <w:p w14:paraId="7FD2925B" w14:textId="77777777" w:rsidR="00863553" w:rsidRPr="00863553" w:rsidRDefault="00863553" w:rsidP="00863553">
            <w:pPr>
              <w:pStyle w:val="Default"/>
              <w:rPr>
                <w:b/>
                <w:bCs/>
              </w:rPr>
            </w:pPr>
            <w:r w:rsidRPr="00863553">
              <w:rPr>
                <w:b/>
                <w:bCs/>
              </w:rPr>
              <w:t>YFT</w:t>
            </w:r>
          </w:p>
        </w:tc>
        <w:tc>
          <w:tcPr>
            <w:tcW w:w="850" w:type="dxa"/>
            <w:tcBorders>
              <w:top w:val="nil"/>
              <w:left w:val="nil"/>
              <w:bottom w:val="single" w:sz="4" w:space="0" w:color="auto"/>
              <w:right w:val="single" w:sz="4" w:space="0" w:color="auto"/>
            </w:tcBorders>
            <w:shd w:val="clear" w:color="000000" w:fill="FABF8F"/>
            <w:noWrap/>
            <w:vAlign w:val="center"/>
            <w:hideMark/>
          </w:tcPr>
          <w:p w14:paraId="4C45ACD0" w14:textId="77777777" w:rsidR="00863553" w:rsidRPr="00863553" w:rsidRDefault="00863553" w:rsidP="00863553">
            <w:pPr>
              <w:pStyle w:val="Default"/>
              <w:rPr>
                <w:b/>
                <w:bCs/>
              </w:rPr>
            </w:pPr>
            <w:r w:rsidRPr="00863553">
              <w:rPr>
                <w:b/>
                <w:bCs/>
              </w:rPr>
              <w:t>OTH</w:t>
            </w:r>
          </w:p>
        </w:tc>
        <w:tc>
          <w:tcPr>
            <w:tcW w:w="997" w:type="dxa"/>
            <w:tcBorders>
              <w:top w:val="nil"/>
              <w:left w:val="nil"/>
              <w:bottom w:val="single" w:sz="4" w:space="0" w:color="auto"/>
              <w:right w:val="single" w:sz="4" w:space="0" w:color="auto"/>
            </w:tcBorders>
            <w:shd w:val="clear" w:color="000000" w:fill="FABF8F"/>
            <w:noWrap/>
            <w:vAlign w:val="center"/>
            <w:hideMark/>
          </w:tcPr>
          <w:p w14:paraId="280375DD" w14:textId="77777777" w:rsidR="00863553" w:rsidRPr="00863553" w:rsidRDefault="00863553" w:rsidP="00863553">
            <w:pPr>
              <w:pStyle w:val="Default"/>
              <w:rPr>
                <w:b/>
                <w:bCs/>
              </w:rPr>
            </w:pPr>
            <w:r w:rsidRPr="00863553">
              <w:rPr>
                <w:b/>
                <w:bCs/>
              </w:rPr>
              <w:t>TOTAL</w:t>
            </w:r>
          </w:p>
        </w:tc>
      </w:tr>
      <w:tr w:rsidR="00863553" w:rsidRPr="00863553" w14:paraId="5B5AD156" w14:textId="77777777" w:rsidTr="00F03AD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F9B7E96" w14:textId="77777777" w:rsidR="00863553" w:rsidRPr="00863553" w:rsidRDefault="00863553" w:rsidP="00863553">
            <w:pPr>
              <w:pStyle w:val="Default"/>
              <w:rPr>
                <w:b/>
                <w:bCs/>
              </w:rPr>
            </w:pPr>
            <w:r w:rsidRPr="00863553">
              <w:rPr>
                <w:b/>
                <w:bCs/>
              </w:rPr>
              <w:t>2012</w:t>
            </w:r>
          </w:p>
        </w:tc>
        <w:tc>
          <w:tcPr>
            <w:tcW w:w="1460" w:type="dxa"/>
            <w:tcBorders>
              <w:top w:val="nil"/>
              <w:left w:val="nil"/>
              <w:bottom w:val="single" w:sz="4" w:space="0" w:color="auto"/>
              <w:right w:val="single" w:sz="4" w:space="0" w:color="auto"/>
            </w:tcBorders>
            <w:shd w:val="clear" w:color="auto" w:fill="auto"/>
            <w:vAlign w:val="center"/>
            <w:hideMark/>
          </w:tcPr>
          <w:p w14:paraId="5B53FB62" w14:textId="77777777" w:rsidR="00863553" w:rsidRPr="00863553" w:rsidRDefault="00863553" w:rsidP="00863553">
            <w:pPr>
              <w:pStyle w:val="Default"/>
              <w:rPr>
                <w:b/>
                <w:bCs/>
              </w:rPr>
            </w:pPr>
            <w:r w:rsidRPr="00863553">
              <w:rPr>
                <w:b/>
                <w:bCs/>
              </w:rPr>
              <w:t>1</w:t>
            </w:r>
          </w:p>
        </w:tc>
        <w:tc>
          <w:tcPr>
            <w:tcW w:w="997" w:type="dxa"/>
            <w:tcBorders>
              <w:top w:val="nil"/>
              <w:left w:val="nil"/>
              <w:bottom w:val="single" w:sz="4" w:space="0" w:color="auto"/>
              <w:right w:val="single" w:sz="4" w:space="0" w:color="auto"/>
            </w:tcBorders>
            <w:shd w:val="clear" w:color="auto" w:fill="auto"/>
            <w:noWrap/>
            <w:vAlign w:val="bottom"/>
            <w:hideMark/>
          </w:tcPr>
          <w:p w14:paraId="3FDFD5F6" w14:textId="77777777" w:rsidR="00863553" w:rsidRPr="00863553" w:rsidRDefault="00863553" w:rsidP="00863553">
            <w:pPr>
              <w:pStyle w:val="Default"/>
              <w:rPr>
                <w:b/>
                <w:bCs/>
              </w:rPr>
            </w:pPr>
            <w:r w:rsidRPr="00863553">
              <w:rPr>
                <w:b/>
                <w:bCs/>
              </w:rPr>
              <w:t>0</w:t>
            </w:r>
          </w:p>
        </w:tc>
        <w:tc>
          <w:tcPr>
            <w:tcW w:w="997" w:type="dxa"/>
            <w:tcBorders>
              <w:top w:val="nil"/>
              <w:left w:val="nil"/>
              <w:bottom w:val="single" w:sz="4" w:space="0" w:color="auto"/>
              <w:right w:val="single" w:sz="4" w:space="0" w:color="auto"/>
            </w:tcBorders>
            <w:shd w:val="clear" w:color="auto" w:fill="auto"/>
            <w:noWrap/>
            <w:vAlign w:val="bottom"/>
            <w:hideMark/>
          </w:tcPr>
          <w:p w14:paraId="092025C6" w14:textId="77777777" w:rsidR="00863553" w:rsidRPr="00863553" w:rsidRDefault="00863553" w:rsidP="00863553">
            <w:pPr>
              <w:pStyle w:val="Default"/>
              <w:rPr>
                <w:b/>
                <w:bCs/>
              </w:rPr>
            </w:pPr>
            <w:r w:rsidRPr="00863553">
              <w:rPr>
                <w:b/>
                <w:bCs/>
              </w:rPr>
              <w:t>41,298</w:t>
            </w:r>
          </w:p>
        </w:tc>
        <w:tc>
          <w:tcPr>
            <w:tcW w:w="850" w:type="dxa"/>
            <w:tcBorders>
              <w:top w:val="nil"/>
              <w:left w:val="nil"/>
              <w:bottom w:val="single" w:sz="4" w:space="0" w:color="auto"/>
              <w:right w:val="single" w:sz="4" w:space="0" w:color="auto"/>
            </w:tcBorders>
            <w:shd w:val="clear" w:color="auto" w:fill="auto"/>
            <w:noWrap/>
            <w:vAlign w:val="bottom"/>
            <w:hideMark/>
          </w:tcPr>
          <w:p w14:paraId="3155C385" w14:textId="77777777" w:rsidR="00863553" w:rsidRPr="00863553" w:rsidRDefault="00863553" w:rsidP="00863553">
            <w:pPr>
              <w:pStyle w:val="Default"/>
              <w:rPr>
                <w:b/>
                <w:bCs/>
              </w:rPr>
            </w:pPr>
            <w:r w:rsidRPr="00863553">
              <w:rPr>
                <w:b/>
                <w:bCs/>
              </w:rPr>
              <w:t>1,140</w:t>
            </w:r>
          </w:p>
        </w:tc>
        <w:tc>
          <w:tcPr>
            <w:tcW w:w="997" w:type="dxa"/>
            <w:tcBorders>
              <w:top w:val="nil"/>
              <w:left w:val="nil"/>
              <w:bottom w:val="single" w:sz="4" w:space="0" w:color="auto"/>
              <w:right w:val="single" w:sz="4" w:space="0" w:color="auto"/>
            </w:tcBorders>
            <w:shd w:val="clear" w:color="auto" w:fill="auto"/>
            <w:noWrap/>
            <w:vAlign w:val="bottom"/>
            <w:hideMark/>
          </w:tcPr>
          <w:p w14:paraId="423A8DB3" w14:textId="77777777" w:rsidR="00863553" w:rsidRPr="00863553" w:rsidRDefault="00863553" w:rsidP="00863553">
            <w:pPr>
              <w:pStyle w:val="Default"/>
              <w:rPr>
                <w:b/>
                <w:bCs/>
              </w:rPr>
            </w:pPr>
            <w:r w:rsidRPr="00863553">
              <w:rPr>
                <w:b/>
                <w:bCs/>
              </w:rPr>
              <w:t>42,438</w:t>
            </w:r>
          </w:p>
        </w:tc>
      </w:tr>
      <w:tr w:rsidR="00863553" w:rsidRPr="00863553" w14:paraId="006C7FFD" w14:textId="77777777" w:rsidTr="00F03AD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61DAAC1" w14:textId="77777777" w:rsidR="00863553" w:rsidRPr="00863553" w:rsidRDefault="00863553" w:rsidP="00863553">
            <w:pPr>
              <w:pStyle w:val="Default"/>
              <w:rPr>
                <w:b/>
                <w:bCs/>
              </w:rPr>
            </w:pPr>
            <w:r w:rsidRPr="00863553">
              <w:rPr>
                <w:b/>
                <w:bCs/>
              </w:rPr>
              <w:t>2012</w:t>
            </w:r>
          </w:p>
        </w:tc>
        <w:tc>
          <w:tcPr>
            <w:tcW w:w="1460" w:type="dxa"/>
            <w:tcBorders>
              <w:top w:val="nil"/>
              <w:left w:val="nil"/>
              <w:bottom w:val="single" w:sz="4" w:space="0" w:color="auto"/>
              <w:right w:val="single" w:sz="4" w:space="0" w:color="auto"/>
            </w:tcBorders>
            <w:shd w:val="clear" w:color="auto" w:fill="auto"/>
            <w:vAlign w:val="center"/>
            <w:hideMark/>
          </w:tcPr>
          <w:p w14:paraId="7B2C9822" w14:textId="77777777" w:rsidR="00863553" w:rsidRPr="00863553" w:rsidRDefault="00863553" w:rsidP="00863553">
            <w:pPr>
              <w:pStyle w:val="Default"/>
              <w:rPr>
                <w:b/>
                <w:bCs/>
              </w:rPr>
            </w:pPr>
            <w:r w:rsidRPr="00863553">
              <w:rPr>
                <w:b/>
                <w:bCs/>
              </w:rPr>
              <w:t>2</w:t>
            </w:r>
          </w:p>
        </w:tc>
        <w:tc>
          <w:tcPr>
            <w:tcW w:w="997" w:type="dxa"/>
            <w:tcBorders>
              <w:top w:val="nil"/>
              <w:left w:val="nil"/>
              <w:bottom w:val="single" w:sz="4" w:space="0" w:color="auto"/>
              <w:right w:val="single" w:sz="4" w:space="0" w:color="auto"/>
            </w:tcBorders>
            <w:shd w:val="clear" w:color="auto" w:fill="auto"/>
            <w:noWrap/>
            <w:vAlign w:val="bottom"/>
            <w:hideMark/>
          </w:tcPr>
          <w:p w14:paraId="78D55160" w14:textId="77777777" w:rsidR="00863553" w:rsidRPr="00863553" w:rsidRDefault="00863553" w:rsidP="00863553">
            <w:pPr>
              <w:pStyle w:val="Default"/>
              <w:rPr>
                <w:b/>
                <w:bCs/>
              </w:rPr>
            </w:pPr>
            <w:r w:rsidRPr="00863553">
              <w:rPr>
                <w:b/>
                <w:bCs/>
              </w:rPr>
              <w:t>2,655</w:t>
            </w:r>
          </w:p>
        </w:tc>
        <w:tc>
          <w:tcPr>
            <w:tcW w:w="997" w:type="dxa"/>
            <w:tcBorders>
              <w:top w:val="nil"/>
              <w:left w:val="nil"/>
              <w:bottom w:val="single" w:sz="4" w:space="0" w:color="auto"/>
              <w:right w:val="single" w:sz="4" w:space="0" w:color="auto"/>
            </w:tcBorders>
            <w:shd w:val="clear" w:color="auto" w:fill="auto"/>
            <w:noWrap/>
            <w:vAlign w:val="bottom"/>
            <w:hideMark/>
          </w:tcPr>
          <w:p w14:paraId="2A9FC7FD" w14:textId="77777777" w:rsidR="00863553" w:rsidRPr="00863553" w:rsidRDefault="00863553" w:rsidP="00863553">
            <w:pPr>
              <w:pStyle w:val="Default"/>
              <w:rPr>
                <w:b/>
                <w:bCs/>
              </w:rPr>
            </w:pPr>
            <w:r w:rsidRPr="00863553">
              <w:rPr>
                <w:b/>
                <w:bCs/>
              </w:rPr>
              <w:t>17,663</w:t>
            </w:r>
          </w:p>
        </w:tc>
        <w:tc>
          <w:tcPr>
            <w:tcW w:w="850" w:type="dxa"/>
            <w:tcBorders>
              <w:top w:val="nil"/>
              <w:left w:val="nil"/>
              <w:bottom w:val="single" w:sz="4" w:space="0" w:color="auto"/>
              <w:right w:val="single" w:sz="4" w:space="0" w:color="auto"/>
            </w:tcBorders>
            <w:shd w:val="clear" w:color="auto" w:fill="auto"/>
            <w:noWrap/>
            <w:vAlign w:val="bottom"/>
            <w:hideMark/>
          </w:tcPr>
          <w:p w14:paraId="4EC7EEFB" w14:textId="77777777" w:rsidR="00863553" w:rsidRPr="00863553" w:rsidRDefault="00863553" w:rsidP="00863553">
            <w:pPr>
              <w:pStyle w:val="Default"/>
              <w:rPr>
                <w:b/>
                <w:bCs/>
              </w:rPr>
            </w:pPr>
            <w:r w:rsidRPr="00863553">
              <w:rPr>
                <w:b/>
                <w:bCs/>
              </w:rPr>
              <w:t>2,738</w:t>
            </w:r>
          </w:p>
        </w:tc>
        <w:tc>
          <w:tcPr>
            <w:tcW w:w="997" w:type="dxa"/>
            <w:tcBorders>
              <w:top w:val="nil"/>
              <w:left w:val="nil"/>
              <w:bottom w:val="single" w:sz="4" w:space="0" w:color="auto"/>
              <w:right w:val="single" w:sz="4" w:space="0" w:color="auto"/>
            </w:tcBorders>
            <w:shd w:val="clear" w:color="auto" w:fill="auto"/>
            <w:noWrap/>
            <w:vAlign w:val="bottom"/>
            <w:hideMark/>
          </w:tcPr>
          <w:p w14:paraId="6727E441" w14:textId="77777777" w:rsidR="00863553" w:rsidRPr="00863553" w:rsidRDefault="00863553" w:rsidP="00863553">
            <w:pPr>
              <w:pStyle w:val="Default"/>
              <w:rPr>
                <w:b/>
                <w:bCs/>
              </w:rPr>
            </w:pPr>
            <w:r w:rsidRPr="00863553">
              <w:rPr>
                <w:b/>
                <w:bCs/>
              </w:rPr>
              <w:t>23,055</w:t>
            </w:r>
          </w:p>
        </w:tc>
      </w:tr>
      <w:tr w:rsidR="00863553" w:rsidRPr="00863553" w14:paraId="72E5964E" w14:textId="77777777" w:rsidTr="00F03AD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D76AF60" w14:textId="77777777" w:rsidR="00863553" w:rsidRPr="00863553" w:rsidRDefault="00863553" w:rsidP="00863553">
            <w:pPr>
              <w:pStyle w:val="Default"/>
              <w:rPr>
                <w:b/>
                <w:bCs/>
              </w:rPr>
            </w:pPr>
            <w:r w:rsidRPr="00863553">
              <w:rPr>
                <w:b/>
                <w:bCs/>
              </w:rPr>
              <w:t>2012</w:t>
            </w:r>
          </w:p>
        </w:tc>
        <w:tc>
          <w:tcPr>
            <w:tcW w:w="1460" w:type="dxa"/>
            <w:tcBorders>
              <w:top w:val="nil"/>
              <w:left w:val="nil"/>
              <w:bottom w:val="single" w:sz="4" w:space="0" w:color="auto"/>
              <w:right w:val="single" w:sz="4" w:space="0" w:color="auto"/>
            </w:tcBorders>
            <w:shd w:val="clear" w:color="auto" w:fill="auto"/>
            <w:vAlign w:val="center"/>
            <w:hideMark/>
          </w:tcPr>
          <w:p w14:paraId="2D32E4FF" w14:textId="77777777" w:rsidR="00863553" w:rsidRPr="00863553" w:rsidRDefault="00863553" w:rsidP="00863553">
            <w:pPr>
              <w:pStyle w:val="Default"/>
              <w:rPr>
                <w:b/>
                <w:bCs/>
              </w:rPr>
            </w:pPr>
            <w:r w:rsidRPr="00863553">
              <w:rPr>
                <w:b/>
                <w:bCs/>
              </w:rPr>
              <w:t>3</w:t>
            </w:r>
          </w:p>
        </w:tc>
        <w:tc>
          <w:tcPr>
            <w:tcW w:w="997" w:type="dxa"/>
            <w:tcBorders>
              <w:top w:val="nil"/>
              <w:left w:val="nil"/>
              <w:bottom w:val="single" w:sz="4" w:space="0" w:color="auto"/>
              <w:right w:val="single" w:sz="4" w:space="0" w:color="auto"/>
            </w:tcBorders>
            <w:shd w:val="clear" w:color="auto" w:fill="auto"/>
            <w:noWrap/>
            <w:vAlign w:val="bottom"/>
            <w:hideMark/>
          </w:tcPr>
          <w:p w14:paraId="1487D7E4" w14:textId="77777777" w:rsidR="00863553" w:rsidRPr="00863553" w:rsidRDefault="00863553" w:rsidP="00863553">
            <w:pPr>
              <w:pStyle w:val="Default"/>
              <w:rPr>
                <w:b/>
                <w:bCs/>
              </w:rPr>
            </w:pPr>
            <w:r w:rsidRPr="00863553">
              <w:rPr>
                <w:b/>
                <w:bCs/>
              </w:rPr>
              <w:t>5,990</w:t>
            </w:r>
          </w:p>
        </w:tc>
        <w:tc>
          <w:tcPr>
            <w:tcW w:w="997" w:type="dxa"/>
            <w:tcBorders>
              <w:top w:val="nil"/>
              <w:left w:val="nil"/>
              <w:bottom w:val="single" w:sz="4" w:space="0" w:color="auto"/>
              <w:right w:val="single" w:sz="4" w:space="0" w:color="auto"/>
            </w:tcBorders>
            <w:shd w:val="clear" w:color="auto" w:fill="auto"/>
            <w:noWrap/>
            <w:vAlign w:val="bottom"/>
            <w:hideMark/>
          </w:tcPr>
          <w:p w14:paraId="3A7203B8" w14:textId="77777777" w:rsidR="00863553" w:rsidRPr="00863553" w:rsidRDefault="00863553" w:rsidP="00863553">
            <w:pPr>
              <w:pStyle w:val="Default"/>
              <w:rPr>
                <w:b/>
                <w:bCs/>
              </w:rPr>
            </w:pPr>
            <w:r w:rsidRPr="00863553">
              <w:rPr>
                <w:b/>
                <w:bCs/>
              </w:rPr>
              <w:t>6,436</w:t>
            </w:r>
          </w:p>
        </w:tc>
        <w:tc>
          <w:tcPr>
            <w:tcW w:w="850" w:type="dxa"/>
            <w:tcBorders>
              <w:top w:val="nil"/>
              <w:left w:val="nil"/>
              <w:bottom w:val="single" w:sz="4" w:space="0" w:color="auto"/>
              <w:right w:val="single" w:sz="4" w:space="0" w:color="auto"/>
            </w:tcBorders>
            <w:shd w:val="clear" w:color="auto" w:fill="auto"/>
            <w:noWrap/>
            <w:vAlign w:val="bottom"/>
            <w:hideMark/>
          </w:tcPr>
          <w:p w14:paraId="43058508" w14:textId="77777777" w:rsidR="00863553" w:rsidRPr="00863553" w:rsidRDefault="00863553" w:rsidP="00863553">
            <w:pPr>
              <w:pStyle w:val="Default"/>
              <w:rPr>
                <w:b/>
                <w:bCs/>
              </w:rPr>
            </w:pPr>
            <w:r w:rsidRPr="00863553">
              <w:rPr>
                <w:b/>
                <w:bCs/>
              </w:rPr>
              <w:t>2,803</w:t>
            </w:r>
          </w:p>
        </w:tc>
        <w:tc>
          <w:tcPr>
            <w:tcW w:w="997" w:type="dxa"/>
            <w:tcBorders>
              <w:top w:val="nil"/>
              <w:left w:val="nil"/>
              <w:bottom w:val="single" w:sz="4" w:space="0" w:color="auto"/>
              <w:right w:val="single" w:sz="4" w:space="0" w:color="auto"/>
            </w:tcBorders>
            <w:shd w:val="clear" w:color="auto" w:fill="auto"/>
            <w:noWrap/>
            <w:vAlign w:val="bottom"/>
            <w:hideMark/>
          </w:tcPr>
          <w:p w14:paraId="45CD5FEB" w14:textId="77777777" w:rsidR="00863553" w:rsidRPr="00863553" w:rsidRDefault="00863553" w:rsidP="00863553">
            <w:pPr>
              <w:pStyle w:val="Default"/>
              <w:rPr>
                <w:b/>
                <w:bCs/>
              </w:rPr>
            </w:pPr>
            <w:r w:rsidRPr="00863553">
              <w:rPr>
                <w:b/>
                <w:bCs/>
              </w:rPr>
              <w:t>15,229</w:t>
            </w:r>
          </w:p>
        </w:tc>
      </w:tr>
      <w:tr w:rsidR="00863553" w:rsidRPr="00863553" w14:paraId="0A331AA6" w14:textId="77777777" w:rsidTr="00F03AD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CC429AA" w14:textId="77777777" w:rsidR="00863553" w:rsidRPr="00863553" w:rsidRDefault="00863553" w:rsidP="00863553">
            <w:pPr>
              <w:pStyle w:val="Default"/>
              <w:rPr>
                <w:b/>
                <w:bCs/>
              </w:rPr>
            </w:pPr>
            <w:r w:rsidRPr="00863553">
              <w:rPr>
                <w:b/>
                <w:bCs/>
              </w:rPr>
              <w:t>2012</w:t>
            </w:r>
          </w:p>
        </w:tc>
        <w:tc>
          <w:tcPr>
            <w:tcW w:w="1460" w:type="dxa"/>
            <w:tcBorders>
              <w:top w:val="nil"/>
              <w:left w:val="nil"/>
              <w:bottom w:val="single" w:sz="4" w:space="0" w:color="auto"/>
              <w:right w:val="single" w:sz="4" w:space="0" w:color="auto"/>
            </w:tcBorders>
            <w:shd w:val="clear" w:color="auto" w:fill="auto"/>
            <w:vAlign w:val="center"/>
            <w:hideMark/>
          </w:tcPr>
          <w:p w14:paraId="3C7F5E5C" w14:textId="77777777" w:rsidR="00863553" w:rsidRPr="00863553" w:rsidRDefault="00863553" w:rsidP="00863553">
            <w:pPr>
              <w:pStyle w:val="Default"/>
              <w:rPr>
                <w:b/>
                <w:bCs/>
              </w:rPr>
            </w:pPr>
            <w:r w:rsidRPr="00863553">
              <w:rPr>
                <w:b/>
                <w:bCs/>
              </w:rPr>
              <w:t>4</w:t>
            </w:r>
          </w:p>
        </w:tc>
        <w:tc>
          <w:tcPr>
            <w:tcW w:w="997" w:type="dxa"/>
            <w:tcBorders>
              <w:top w:val="nil"/>
              <w:left w:val="nil"/>
              <w:bottom w:val="single" w:sz="4" w:space="0" w:color="auto"/>
              <w:right w:val="single" w:sz="4" w:space="0" w:color="auto"/>
            </w:tcBorders>
            <w:shd w:val="clear" w:color="auto" w:fill="auto"/>
            <w:noWrap/>
            <w:vAlign w:val="bottom"/>
            <w:hideMark/>
          </w:tcPr>
          <w:p w14:paraId="7D53D625" w14:textId="77777777" w:rsidR="00863553" w:rsidRPr="00863553" w:rsidRDefault="00863553" w:rsidP="00863553">
            <w:pPr>
              <w:pStyle w:val="Default"/>
              <w:rPr>
                <w:b/>
                <w:bCs/>
              </w:rPr>
            </w:pPr>
            <w:r w:rsidRPr="00863553">
              <w:rPr>
                <w:b/>
                <w:bCs/>
              </w:rPr>
              <w:t>6,000</w:t>
            </w:r>
          </w:p>
        </w:tc>
        <w:tc>
          <w:tcPr>
            <w:tcW w:w="997" w:type="dxa"/>
            <w:tcBorders>
              <w:top w:val="nil"/>
              <w:left w:val="nil"/>
              <w:bottom w:val="single" w:sz="4" w:space="0" w:color="auto"/>
              <w:right w:val="single" w:sz="4" w:space="0" w:color="auto"/>
            </w:tcBorders>
            <w:shd w:val="clear" w:color="auto" w:fill="auto"/>
            <w:noWrap/>
            <w:vAlign w:val="bottom"/>
            <w:hideMark/>
          </w:tcPr>
          <w:p w14:paraId="144B4AC5" w14:textId="77777777" w:rsidR="00863553" w:rsidRPr="00863553" w:rsidRDefault="00863553" w:rsidP="00863553">
            <w:pPr>
              <w:pStyle w:val="Default"/>
              <w:rPr>
                <w:b/>
                <w:bCs/>
              </w:rPr>
            </w:pPr>
            <w:r w:rsidRPr="00863553">
              <w:rPr>
                <w:b/>
                <w:bCs/>
              </w:rPr>
              <w:t>360</w:t>
            </w:r>
          </w:p>
        </w:tc>
        <w:tc>
          <w:tcPr>
            <w:tcW w:w="850" w:type="dxa"/>
            <w:tcBorders>
              <w:top w:val="nil"/>
              <w:left w:val="nil"/>
              <w:bottom w:val="single" w:sz="4" w:space="0" w:color="auto"/>
              <w:right w:val="single" w:sz="4" w:space="0" w:color="auto"/>
            </w:tcBorders>
            <w:shd w:val="clear" w:color="auto" w:fill="auto"/>
            <w:noWrap/>
            <w:vAlign w:val="bottom"/>
            <w:hideMark/>
          </w:tcPr>
          <w:p w14:paraId="27802ED3" w14:textId="77777777" w:rsidR="00863553" w:rsidRPr="00863553" w:rsidRDefault="00863553" w:rsidP="00863553">
            <w:pPr>
              <w:pStyle w:val="Default"/>
              <w:rPr>
                <w:b/>
                <w:bCs/>
              </w:rPr>
            </w:pPr>
            <w:r w:rsidRPr="00863553">
              <w:rPr>
                <w:b/>
                <w:bCs/>
              </w:rPr>
              <w:t>0</w:t>
            </w:r>
          </w:p>
        </w:tc>
        <w:tc>
          <w:tcPr>
            <w:tcW w:w="997" w:type="dxa"/>
            <w:tcBorders>
              <w:top w:val="nil"/>
              <w:left w:val="nil"/>
              <w:bottom w:val="single" w:sz="4" w:space="0" w:color="auto"/>
              <w:right w:val="single" w:sz="4" w:space="0" w:color="auto"/>
            </w:tcBorders>
            <w:shd w:val="clear" w:color="auto" w:fill="auto"/>
            <w:noWrap/>
            <w:vAlign w:val="bottom"/>
            <w:hideMark/>
          </w:tcPr>
          <w:p w14:paraId="7B912486" w14:textId="77777777" w:rsidR="00863553" w:rsidRPr="00863553" w:rsidRDefault="00863553" w:rsidP="00863553">
            <w:pPr>
              <w:pStyle w:val="Default"/>
              <w:rPr>
                <w:b/>
                <w:bCs/>
              </w:rPr>
            </w:pPr>
            <w:r w:rsidRPr="00863553">
              <w:rPr>
                <w:b/>
                <w:bCs/>
              </w:rPr>
              <w:t>6,360</w:t>
            </w:r>
          </w:p>
        </w:tc>
      </w:tr>
      <w:tr w:rsidR="00863553" w:rsidRPr="00863553" w14:paraId="6232AEB5" w14:textId="77777777" w:rsidTr="00F03AD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592106B" w14:textId="77777777" w:rsidR="00863553" w:rsidRPr="00863553" w:rsidRDefault="00863553" w:rsidP="00863553">
            <w:pPr>
              <w:pStyle w:val="Default"/>
              <w:rPr>
                <w:b/>
                <w:bCs/>
              </w:rPr>
            </w:pPr>
            <w:r w:rsidRPr="00863553">
              <w:rPr>
                <w:b/>
                <w:bCs/>
              </w:rPr>
              <w:t>2012</w:t>
            </w:r>
          </w:p>
        </w:tc>
        <w:tc>
          <w:tcPr>
            <w:tcW w:w="1460" w:type="dxa"/>
            <w:tcBorders>
              <w:top w:val="nil"/>
              <w:left w:val="nil"/>
              <w:bottom w:val="single" w:sz="4" w:space="0" w:color="auto"/>
              <w:right w:val="single" w:sz="4" w:space="0" w:color="auto"/>
            </w:tcBorders>
            <w:shd w:val="clear" w:color="auto" w:fill="auto"/>
            <w:vAlign w:val="center"/>
            <w:hideMark/>
          </w:tcPr>
          <w:p w14:paraId="2F8CC8F7" w14:textId="77777777" w:rsidR="00863553" w:rsidRPr="00863553" w:rsidRDefault="00863553" w:rsidP="00863553">
            <w:pPr>
              <w:pStyle w:val="Default"/>
              <w:rPr>
                <w:b/>
                <w:bCs/>
              </w:rPr>
            </w:pPr>
            <w:r w:rsidRPr="00863553">
              <w:rPr>
                <w:b/>
                <w:bCs/>
              </w:rPr>
              <w:t>5</w:t>
            </w:r>
          </w:p>
        </w:tc>
        <w:tc>
          <w:tcPr>
            <w:tcW w:w="997" w:type="dxa"/>
            <w:tcBorders>
              <w:top w:val="nil"/>
              <w:left w:val="nil"/>
              <w:bottom w:val="single" w:sz="4" w:space="0" w:color="auto"/>
              <w:right w:val="single" w:sz="4" w:space="0" w:color="auto"/>
            </w:tcBorders>
            <w:shd w:val="clear" w:color="auto" w:fill="auto"/>
            <w:noWrap/>
            <w:vAlign w:val="bottom"/>
            <w:hideMark/>
          </w:tcPr>
          <w:p w14:paraId="47067B61" w14:textId="77777777" w:rsidR="00863553" w:rsidRPr="00863553" w:rsidRDefault="00863553" w:rsidP="00863553">
            <w:pPr>
              <w:pStyle w:val="Default"/>
              <w:rPr>
                <w:b/>
                <w:bCs/>
              </w:rPr>
            </w:pPr>
            <w:r w:rsidRPr="00863553">
              <w:rPr>
                <w:b/>
                <w:bCs/>
              </w:rPr>
              <w:t>0</w:t>
            </w:r>
          </w:p>
        </w:tc>
        <w:tc>
          <w:tcPr>
            <w:tcW w:w="997" w:type="dxa"/>
            <w:tcBorders>
              <w:top w:val="nil"/>
              <w:left w:val="nil"/>
              <w:bottom w:val="single" w:sz="4" w:space="0" w:color="auto"/>
              <w:right w:val="single" w:sz="4" w:space="0" w:color="auto"/>
            </w:tcBorders>
            <w:shd w:val="clear" w:color="auto" w:fill="auto"/>
            <w:noWrap/>
            <w:vAlign w:val="bottom"/>
            <w:hideMark/>
          </w:tcPr>
          <w:p w14:paraId="5EB8154C" w14:textId="77777777" w:rsidR="00863553" w:rsidRPr="00863553" w:rsidRDefault="00863553" w:rsidP="00863553">
            <w:pPr>
              <w:pStyle w:val="Default"/>
              <w:rPr>
                <w:b/>
                <w:bCs/>
              </w:rPr>
            </w:pPr>
            <w:r w:rsidRPr="00863553">
              <w:rPr>
                <w:b/>
                <w:bCs/>
              </w:rPr>
              <w:t>6,840</w:t>
            </w:r>
          </w:p>
        </w:tc>
        <w:tc>
          <w:tcPr>
            <w:tcW w:w="850" w:type="dxa"/>
            <w:tcBorders>
              <w:top w:val="nil"/>
              <w:left w:val="nil"/>
              <w:bottom w:val="single" w:sz="4" w:space="0" w:color="auto"/>
              <w:right w:val="single" w:sz="4" w:space="0" w:color="auto"/>
            </w:tcBorders>
            <w:shd w:val="clear" w:color="auto" w:fill="auto"/>
            <w:noWrap/>
            <w:vAlign w:val="bottom"/>
            <w:hideMark/>
          </w:tcPr>
          <w:p w14:paraId="5715F560" w14:textId="77777777" w:rsidR="00863553" w:rsidRPr="00863553" w:rsidRDefault="00863553" w:rsidP="00863553">
            <w:pPr>
              <w:pStyle w:val="Default"/>
              <w:rPr>
                <w:b/>
                <w:bCs/>
              </w:rPr>
            </w:pPr>
            <w:r w:rsidRPr="00863553">
              <w:rPr>
                <w:b/>
                <w:bCs/>
              </w:rPr>
              <w:t>1,440</w:t>
            </w:r>
          </w:p>
        </w:tc>
        <w:tc>
          <w:tcPr>
            <w:tcW w:w="997" w:type="dxa"/>
            <w:tcBorders>
              <w:top w:val="nil"/>
              <w:left w:val="nil"/>
              <w:bottom w:val="single" w:sz="4" w:space="0" w:color="auto"/>
              <w:right w:val="single" w:sz="4" w:space="0" w:color="auto"/>
            </w:tcBorders>
            <w:shd w:val="clear" w:color="auto" w:fill="auto"/>
            <w:noWrap/>
            <w:vAlign w:val="bottom"/>
            <w:hideMark/>
          </w:tcPr>
          <w:p w14:paraId="00734BE1" w14:textId="77777777" w:rsidR="00863553" w:rsidRPr="00863553" w:rsidRDefault="00863553" w:rsidP="00863553">
            <w:pPr>
              <w:pStyle w:val="Default"/>
              <w:rPr>
                <w:b/>
                <w:bCs/>
              </w:rPr>
            </w:pPr>
            <w:r w:rsidRPr="00863553">
              <w:rPr>
                <w:b/>
                <w:bCs/>
              </w:rPr>
              <w:t>8,280</w:t>
            </w:r>
          </w:p>
        </w:tc>
      </w:tr>
      <w:tr w:rsidR="00863553" w:rsidRPr="00863553" w14:paraId="51E9A0FD" w14:textId="77777777" w:rsidTr="00F03AD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D6549E5" w14:textId="77777777" w:rsidR="00863553" w:rsidRPr="00863553" w:rsidRDefault="00863553" w:rsidP="00863553">
            <w:pPr>
              <w:pStyle w:val="Default"/>
              <w:rPr>
                <w:b/>
                <w:bCs/>
              </w:rPr>
            </w:pPr>
            <w:r w:rsidRPr="00863553">
              <w:rPr>
                <w:b/>
                <w:bCs/>
              </w:rPr>
              <w:t>2012</w:t>
            </w:r>
          </w:p>
        </w:tc>
        <w:tc>
          <w:tcPr>
            <w:tcW w:w="1460" w:type="dxa"/>
            <w:tcBorders>
              <w:top w:val="nil"/>
              <w:left w:val="nil"/>
              <w:bottom w:val="single" w:sz="4" w:space="0" w:color="auto"/>
              <w:right w:val="single" w:sz="4" w:space="0" w:color="auto"/>
            </w:tcBorders>
            <w:shd w:val="clear" w:color="auto" w:fill="auto"/>
            <w:vAlign w:val="center"/>
            <w:hideMark/>
          </w:tcPr>
          <w:p w14:paraId="41D0A9F6" w14:textId="77777777" w:rsidR="00863553" w:rsidRPr="00863553" w:rsidRDefault="00863553" w:rsidP="00863553">
            <w:pPr>
              <w:pStyle w:val="Default"/>
              <w:rPr>
                <w:b/>
                <w:bCs/>
              </w:rPr>
            </w:pPr>
            <w:r w:rsidRPr="00863553">
              <w:rPr>
                <w:b/>
                <w:bCs/>
              </w:rPr>
              <w:t>6</w:t>
            </w:r>
          </w:p>
        </w:tc>
        <w:tc>
          <w:tcPr>
            <w:tcW w:w="997" w:type="dxa"/>
            <w:tcBorders>
              <w:top w:val="nil"/>
              <w:left w:val="nil"/>
              <w:bottom w:val="single" w:sz="4" w:space="0" w:color="auto"/>
              <w:right w:val="single" w:sz="4" w:space="0" w:color="auto"/>
            </w:tcBorders>
            <w:shd w:val="clear" w:color="auto" w:fill="auto"/>
            <w:noWrap/>
            <w:vAlign w:val="bottom"/>
            <w:hideMark/>
          </w:tcPr>
          <w:p w14:paraId="7D151F0D" w14:textId="77777777" w:rsidR="00863553" w:rsidRPr="00863553" w:rsidRDefault="00863553" w:rsidP="00863553">
            <w:pPr>
              <w:pStyle w:val="Default"/>
              <w:rPr>
                <w:b/>
                <w:bCs/>
              </w:rPr>
            </w:pPr>
            <w:r w:rsidRPr="00863553">
              <w:rPr>
                <w:b/>
                <w:bCs/>
              </w:rPr>
              <w:t>3,773</w:t>
            </w:r>
          </w:p>
        </w:tc>
        <w:tc>
          <w:tcPr>
            <w:tcW w:w="997" w:type="dxa"/>
            <w:tcBorders>
              <w:top w:val="nil"/>
              <w:left w:val="nil"/>
              <w:bottom w:val="single" w:sz="4" w:space="0" w:color="auto"/>
              <w:right w:val="single" w:sz="4" w:space="0" w:color="auto"/>
            </w:tcBorders>
            <w:shd w:val="clear" w:color="auto" w:fill="auto"/>
            <w:noWrap/>
            <w:vAlign w:val="bottom"/>
            <w:hideMark/>
          </w:tcPr>
          <w:p w14:paraId="2E552A03" w14:textId="77777777" w:rsidR="00863553" w:rsidRPr="00863553" w:rsidRDefault="00863553" w:rsidP="00863553">
            <w:pPr>
              <w:pStyle w:val="Default"/>
              <w:rPr>
                <w:b/>
                <w:bCs/>
              </w:rPr>
            </w:pPr>
            <w:r w:rsidRPr="00863553">
              <w:rPr>
                <w:b/>
                <w:bCs/>
              </w:rPr>
              <w:t>6,192</w:t>
            </w:r>
          </w:p>
        </w:tc>
        <w:tc>
          <w:tcPr>
            <w:tcW w:w="850" w:type="dxa"/>
            <w:tcBorders>
              <w:top w:val="nil"/>
              <w:left w:val="nil"/>
              <w:bottom w:val="single" w:sz="4" w:space="0" w:color="auto"/>
              <w:right w:val="single" w:sz="4" w:space="0" w:color="auto"/>
            </w:tcBorders>
            <w:shd w:val="clear" w:color="auto" w:fill="auto"/>
            <w:noWrap/>
            <w:vAlign w:val="bottom"/>
            <w:hideMark/>
          </w:tcPr>
          <w:p w14:paraId="14398B56" w14:textId="77777777" w:rsidR="00863553" w:rsidRPr="00863553" w:rsidRDefault="00863553" w:rsidP="00863553">
            <w:pPr>
              <w:pStyle w:val="Default"/>
              <w:rPr>
                <w:b/>
                <w:bCs/>
              </w:rPr>
            </w:pPr>
            <w:r w:rsidRPr="00863553">
              <w:rPr>
                <w:b/>
                <w:bCs/>
              </w:rPr>
              <w:t>3,485</w:t>
            </w:r>
          </w:p>
        </w:tc>
        <w:tc>
          <w:tcPr>
            <w:tcW w:w="997" w:type="dxa"/>
            <w:tcBorders>
              <w:top w:val="nil"/>
              <w:left w:val="nil"/>
              <w:bottom w:val="single" w:sz="4" w:space="0" w:color="auto"/>
              <w:right w:val="single" w:sz="4" w:space="0" w:color="auto"/>
            </w:tcBorders>
            <w:shd w:val="clear" w:color="auto" w:fill="auto"/>
            <w:noWrap/>
            <w:vAlign w:val="bottom"/>
            <w:hideMark/>
          </w:tcPr>
          <w:p w14:paraId="7EA31856" w14:textId="77777777" w:rsidR="00863553" w:rsidRPr="00863553" w:rsidRDefault="00863553" w:rsidP="00863553">
            <w:pPr>
              <w:pStyle w:val="Default"/>
              <w:rPr>
                <w:b/>
                <w:bCs/>
              </w:rPr>
            </w:pPr>
            <w:r w:rsidRPr="00863553">
              <w:rPr>
                <w:b/>
                <w:bCs/>
              </w:rPr>
              <w:t>13,450</w:t>
            </w:r>
          </w:p>
        </w:tc>
      </w:tr>
      <w:tr w:rsidR="00863553" w:rsidRPr="00863553" w14:paraId="51AED839" w14:textId="77777777" w:rsidTr="00F03AD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AD1EC98" w14:textId="77777777" w:rsidR="00863553" w:rsidRPr="00863553" w:rsidRDefault="00863553" w:rsidP="00863553">
            <w:pPr>
              <w:pStyle w:val="Default"/>
              <w:rPr>
                <w:b/>
                <w:bCs/>
              </w:rPr>
            </w:pPr>
            <w:r w:rsidRPr="00863553">
              <w:rPr>
                <w:b/>
                <w:bCs/>
              </w:rPr>
              <w:t>2012</w:t>
            </w:r>
          </w:p>
        </w:tc>
        <w:tc>
          <w:tcPr>
            <w:tcW w:w="1460" w:type="dxa"/>
            <w:tcBorders>
              <w:top w:val="nil"/>
              <w:left w:val="nil"/>
              <w:bottom w:val="single" w:sz="4" w:space="0" w:color="auto"/>
              <w:right w:val="single" w:sz="4" w:space="0" w:color="auto"/>
            </w:tcBorders>
            <w:shd w:val="clear" w:color="auto" w:fill="auto"/>
            <w:vAlign w:val="center"/>
            <w:hideMark/>
          </w:tcPr>
          <w:p w14:paraId="326E3F2A" w14:textId="77777777" w:rsidR="00863553" w:rsidRPr="00863553" w:rsidRDefault="00863553" w:rsidP="00863553">
            <w:pPr>
              <w:pStyle w:val="Default"/>
              <w:rPr>
                <w:b/>
                <w:bCs/>
              </w:rPr>
            </w:pPr>
            <w:r w:rsidRPr="00863553">
              <w:rPr>
                <w:b/>
                <w:bCs/>
              </w:rPr>
              <w:t>7</w:t>
            </w:r>
          </w:p>
        </w:tc>
        <w:tc>
          <w:tcPr>
            <w:tcW w:w="997" w:type="dxa"/>
            <w:tcBorders>
              <w:top w:val="nil"/>
              <w:left w:val="nil"/>
              <w:bottom w:val="single" w:sz="4" w:space="0" w:color="auto"/>
              <w:right w:val="single" w:sz="4" w:space="0" w:color="auto"/>
            </w:tcBorders>
            <w:shd w:val="clear" w:color="auto" w:fill="auto"/>
            <w:noWrap/>
            <w:vAlign w:val="bottom"/>
            <w:hideMark/>
          </w:tcPr>
          <w:p w14:paraId="4A79EDB9" w14:textId="77777777" w:rsidR="00863553" w:rsidRPr="00863553" w:rsidRDefault="00863553" w:rsidP="00863553">
            <w:pPr>
              <w:pStyle w:val="Default"/>
              <w:rPr>
                <w:b/>
                <w:bCs/>
              </w:rPr>
            </w:pPr>
            <w:r w:rsidRPr="00863553">
              <w:rPr>
                <w:b/>
                <w:bCs/>
              </w:rPr>
              <w:t>9,767</w:t>
            </w:r>
          </w:p>
        </w:tc>
        <w:tc>
          <w:tcPr>
            <w:tcW w:w="997" w:type="dxa"/>
            <w:tcBorders>
              <w:top w:val="nil"/>
              <w:left w:val="nil"/>
              <w:bottom w:val="single" w:sz="4" w:space="0" w:color="auto"/>
              <w:right w:val="single" w:sz="4" w:space="0" w:color="auto"/>
            </w:tcBorders>
            <w:shd w:val="clear" w:color="auto" w:fill="auto"/>
            <w:noWrap/>
            <w:vAlign w:val="bottom"/>
            <w:hideMark/>
          </w:tcPr>
          <w:p w14:paraId="42A1A647" w14:textId="77777777" w:rsidR="00863553" w:rsidRPr="00863553" w:rsidRDefault="00863553" w:rsidP="00863553">
            <w:pPr>
              <w:pStyle w:val="Default"/>
              <w:rPr>
                <w:b/>
                <w:bCs/>
              </w:rPr>
            </w:pPr>
            <w:r w:rsidRPr="00863553">
              <w:rPr>
                <w:b/>
                <w:bCs/>
              </w:rPr>
              <w:t>4,502</w:t>
            </w:r>
          </w:p>
        </w:tc>
        <w:tc>
          <w:tcPr>
            <w:tcW w:w="850" w:type="dxa"/>
            <w:tcBorders>
              <w:top w:val="nil"/>
              <w:left w:val="nil"/>
              <w:bottom w:val="single" w:sz="4" w:space="0" w:color="auto"/>
              <w:right w:val="single" w:sz="4" w:space="0" w:color="auto"/>
            </w:tcBorders>
            <w:shd w:val="clear" w:color="auto" w:fill="auto"/>
            <w:noWrap/>
            <w:vAlign w:val="bottom"/>
            <w:hideMark/>
          </w:tcPr>
          <w:p w14:paraId="4E74C3FD" w14:textId="77777777" w:rsidR="00863553" w:rsidRPr="00863553" w:rsidRDefault="00863553" w:rsidP="00863553">
            <w:pPr>
              <w:pStyle w:val="Default"/>
              <w:rPr>
                <w:b/>
                <w:bCs/>
              </w:rPr>
            </w:pPr>
            <w:r w:rsidRPr="00863553">
              <w:rPr>
                <w:b/>
                <w:bCs/>
              </w:rPr>
              <w:t>2,895</w:t>
            </w:r>
          </w:p>
        </w:tc>
        <w:tc>
          <w:tcPr>
            <w:tcW w:w="997" w:type="dxa"/>
            <w:tcBorders>
              <w:top w:val="nil"/>
              <w:left w:val="nil"/>
              <w:bottom w:val="single" w:sz="4" w:space="0" w:color="auto"/>
              <w:right w:val="single" w:sz="4" w:space="0" w:color="auto"/>
            </w:tcBorders>
            <w:shd w:val="clear" w:color="auto" w:fill="auto"/>
            <w:noWrap/>
            <w:vAlign w:val="bottom"/>
            <w:hideMark/>
          </w:tcPr>
          <w:p w14:paraId="708FA4B6" w14:textId="77777777" w:rsidR="00863553" w:rsidRPr="00863553" w:rsidRDefault="00863553" w:rsidP="00863553">
            <w:pPr>
              <w:pStyle w:val="Default"/>
              <w:rPr>
                <w:b/>
                <w:bCs/>
              </w:rPr>
            </w:pPr>
            <w:r w:rsidRPr="00863553">
              <w:rPr>
                <w:b/>
                <w:bCs/>
              </w:rPr>
              <w:t>17,164</w:t>
            </w:r>
          </w:p>
        </w:tc>
      </w:tr>
      <w:tr w:rsidR="00863553" w:rsidRPr="00863553" w14:paraId="16518AA5" w14:textId="77777777" w:rsidTr="00F03AD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BA9D128" w14:textId="77777777" w:rsidR="00863553" w:rsidRPr="00863553" w:rsidRDefault="00863553" w:rsidP="00863553">
            <w:pPr>
              <w:pStyle w:val="Default"/>
              <w:rPr>
                <w:b/>
                <w:bCs/>
              </w:rPr>
            </w:pPr>
            <w:r w:rsidRPr="00863553">
              <w:rPr>
                <w:b/>
                <w:bCs/>
              </w:rPr>
              <w:t>2012</w:t>
            </w:r>
          </w:p>
        </w:tc>
        <w:tc>
          <w:tcPr>
            <w:tcW w:w="1460" w:type="dxa"/>
            <w:tcBorders>
              <w:top w:val="nil"/>
              <w:left w:val="nil"/>
              <w:bottom w:val="single" w:sz="4" w:space="0" w:color="auto"/>
              <w:right w:val="single" w:sz="4" w:space="0" w:color="auto"/>
            </w:tcBorders>
            <w:shd w:val="clear" w:color="auto" w:fill="auto"/>
            <w:vAlign w:val="center"/>
            <w:hideMark/>
          </w:tcPr>
          <w:p w14:paraId="7CC9CC2F" w14:textId="77777777" w:rsidR="00863553" w:rsidRPr="00863553" w:rsidRDefault="00863553" w:rsidP="00863553">
            <w:pPr>
              <w:pStyle w:val="Default"/>
              <w:rPr>
                <w:b/>
                <w:bCs/>
              </w:rPr>
            </w:pPr>
            <w:r w:rsidRPr="00863553">
              <w:rPr>
                <w:b/>
                <w:bCs/>
              </w:rPr>
              <w:t>8</w:t>
            </w:r>
          </w:p>
        </w:tc>
        <w:tc>
          <w:tcPr>
            <w:tcW w:w="997" w:type="dxa"/>
            <w:tcBorders>
              <w:top w:val="nil"/>
              <w:left w:val="nil"/>
              <w:bottom w:val="single" w:sz="4" w:space="0" w:color="auto"/>
              <w:right w:val="single" w:sz="4" w:space="0" w:color="auto"/>
            </w:tcBorders>
            <w:shd w:val="clear" w:color="auto" w:fill="auto"/>
            <w:noWrap/>
            <w:vAlign w:val="bottom"/>
            <w:hideMark/>
          </w:tcPr>
          <w:p w14:paraId="64AB336A" w14:textId="77777777" w:rsidR="00863553" w:rsidRPr="00863553" w:rsidRDefault="00863553" w:rsidP="00863553">
            <w:pPr>
              <w:pStyle w:val="Default"/>
              <w:rPr>
                <w:b/>
                <w:bCs/>
              </w:rPr>
            </w:pPr>
            <w:r w:rsidRPr="00863553">
              <w:rPr>
                <w:b/>
                <w:bCs/>
              </w:rPr>
              <w:t>254</w:t>
            </w:r>
          </w:p>
        </w:tc>
        <w:tc>
          <w:tcPr>
            <w:tcW w:w="997" w:type="dxa"/>
            <w:tcBorders>
              <w:top w:val="nil"/>
              <w:left w:val="nil"/>
              <w:bottom w:val="single" w:sz="4" w:space="0" w:color="auto"/>
              <w:right w:val="single" w:sz="4" w:space="0" w:color="auto"/>
            </w:tcBorders>
            <w:shd w:val="clear" w:color="auto" w:fill="auto"/>
            <w:noWrap/>
            <w:vAlign w:val="bottom"/>
            <w:hideMark/>
          </w:tcPr>
          <w:p w14:paraId="16E04B97" w14:textId="77777777" w:rsidR="00863553" w:rsidRPr="00863553" w:rsidRDefault="00863553" w:rsidP="00863553">
            <w:pPr>
              <w:pStyle w:val="Default"/>
              <w:rPr>
                <w:b/>
                <w:bCs/>
              </w:rPr>
            </w:pPr>
            <w:r w:rsidRPr="00863553">
              <w:rPr>
                <w:b/>
                <w:bCs/>
              </w:rPr>
              <w:t>1,917</w:t>
            </w:r>
          </w:p>
        </w:tc>
        <w:tc>
          <w:tcPr>
            <w:tcW w:w="850" w:type="dxa"/>
            <w:tcBorders>
              <w:top w:val="nil"/>
              <w:left w:val="nil"/>
              <w:bottom w:val="single" w:sz="4" w:space="0" w:color="auto"/>
              <w:right w:val="single" w:sz="4" w:space="0" w:color="auto"/>
            </w:tcBorders>
            <w:shd w:val="clear" w:color="auto" w:fill="auto"/>
            <w:noWrap/>
            <w:vAlign w:val="bottom"/>
            <w:hideMark/>
          </w:tcPr>
          <w:p w14:paraId="35C0B0C7" w14:textId="77777777" w:rsidR="00863553" w:rsidRPr="00863553" w:rsidRDefault="00863553" w:rsidP="00863553">
            <w:pPr>
              <w:pStyle w:val="Default"/>
              <w:rPr>
                <w:b/>
                <w:bCs/>
              </w:rPr>
            </w:pPr>
            <w:r w:rsidRPr="00863553">
              <w:rPr>
                <w:b/>
                <w:bCs/>
              </w:rPr>
              <w:t>4,077</w:t>
            </w:r>
          </w:p>
        </w:tc>
        <w:tc>
          <w:tcPr>
            <w:tcW w:w="997" w:type="dxa"/>
            <w:tcBorders>
              <w:top w:val="nil"/>
              <w:left w:val="nil"/>
              <w:bottom w:val="single" w:sz="4" w:space="0" w:color="auto"/>
              <w:right w:val="single" w:sz="4" w:space="0" w:color="auto"/>
            </w:tcBorders>
            <w:shd w:val="clear" w:color="auto" w:fill="auto"/>
            <w:noWrap/>
            <w:vAlign w:val="bottom"/>
            <w:hideMark/>
          </w:tcPr>
          <w:p w14:paraId="3C4AA2BA" w14:textId="77777777" w:rsidR="00863553" w:rsidRPr="00863553" w:rsidRDefault="00863553" w:rsidP="00863553">
            <w:pPr>
              <w:pStyle w:val="Default"/>
              <w:rPr>
                <w:b/>
                <w:bCs/>
              </w:rPr>
            </w:pPr>
            <w:r w:rsidRPr="00863553">
              <w:rPr>
                <w:b/>
                <w:bCs/>
              </w:rPr>
              <w:t>6,247</w:t>
            </w:r>
          </w:p>
        </w:tc>
      </w:tr>
      <w:tr w:rsidR="00863553" w:rsidRPr="00863553" w14:paraId="1274A405" w14:textId="77777777" w:rsidTr="00F03AD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140A3F2" w14:textId="77777777" w:rsidR="00863553" w:rsidRPr="00863553" w:rsidRDefault="00863553" w:rsidP="00863553">
            <w:pPr>
              <w:pStyle w:val="Default"/>
              <w:rPr>
                <w:b/>
                <w:bCs/>
              </w:rPr>
            </w:pPr>
            <w:r w:rsidRPr="00863553">
              <w:rPr>
                <w:b/>
                <w:bCs/>
              </w:rPr>
              <w:t>2012</w:t>
            </w:r>
          </w:p>
        </w:tc>
        <w:tc>
          <w:tcPr>
            <w:tcW w:w="1460" w:type="dxa"/>
            <w:tcBorders>
              <w:top w:val="nil"/>
              <w:left w:val="nil"/>
              <w:bottom w:val="single" w:sz="4" w:space="0" w:color="auto"/>
              <w:right w:val="single" w:sz="4" w:space="0" w:color="auto"/>
            </w:tcBorders>
            <w:shd w:val="clear" w:color="auto" w:fill="auto"/>
            <w:vAlign w:val="center"/>
            <w:hideMark/>
          </w:tcPr>
          <w:p w14:paraId="37DE6A1C" w14:textId="77777777" w:rsidR="00863553" w:rsidRPr="00863553" w:rsidRDefault="00863553" w:rsidP="00863553">
            <w:pPr>
              <w:pStyle w:val="Default"/>
              <w:rPr>
                <w:b/>
                <w:bCs/>
              </w:rPr>
            </w:pPr>
            <w:r w:rsidRPr="00863553">
              <w:rPr>
                <w:b/>
                <w:bCs/>
              </w:rPr>
              <w:t>9</w:t>
            </w:r>
          </w:p>
        </w:tc>
        <w:tc>
          <w:tcPr>
            <w:tcW w:w="997" w:type="dxa"/>
            <w:tcBorders>
              <w:top w:val="nil"/>
              <w:left w:val="nil"/>
              <w:bottom w:val="single" w:sz="4" w:space="0" w:color="auto"/>
              <w:right w:val="single" w:sz="4" w:space="0" w:color="auto"/>
            </w:tcBorders>
            <w:shd w:val="clear" w:color="auto" w:fill="auto"/>
            <w:noWrap/>
            <w:vAlign w:val="bottom"/>
            <w:hideMark/>
          </w:tcPr>
          <w:p w14:paraId="6A997CED" w14:textId="77777777" w:rsidR="00863553" w:rsidRPr="00863553" w:rsidRDefault="00863553" w:rsidP="00863553">
            <w:pPr>
              <w:pStyle w:val="Default"/>
              <w:rPr>
                <w:b/>
                <w:bCs/>
              </w:rPr>
            </w:pPr>
            <w:r w:rsidRPr="00863553">
              <w:rPr>
                <w:b/>
                <w:bCs/>
              </w:rPr>
              <w:t>8,870</w:t>
            </w:r>
          </w:p>
        </w:tc>
        <w:tc>
          <w:tcPr>
            <w:tcW w:w="997" w:type="dxa"/>
            <w:tcBorders>
              <w:top w:val="nil"/>
              <w:left w:val="nil"/>
              <w:bottom w:val="single" w:sz="4" w:space="0" w:color="auto"/>
              <w:right w:val="single" w:sz="4" w:space="0" w:color="auto"/>
            </w:tcBorders>
            <w:shd w:val="clear" w:color="auto" w:fill="auto"/>
            <w:noWrap/>
            <w:vAlign w:val="bottom"/>
            <w:hideMark/>
          </w:tcPr>
          <w:p w14:paraId="1D5A7840" w14:textId="77777777" w:rsidR="00863553" w:rsidRPr="00863553" w:rsidRDefault="00863553" w:rsidP="00863553">
            <w:pPr>
              <w:pStyle w:val="Default"/>
              <w:rPr>
                <w:b/>
                <w:bCs/>
              </w:rPr>
            </w:pPr>
            <w:r w:rsidRPr="00863553">
              <w:rPr>
                <w:b/>
                <w:bCs/>
              </w:rPr>
              <w:t>5,136</w:t>
            </w:r>
          </w:p>
        </w:tc>
        <w:tc>
          <w:tcPr>
            <w:tcW w:w="850" w:type="dxa"/>
            <w:tcBorders>
              <w:top w:val="nil"/>
              <w:left w:val="nil"/>
              <w:bottom w:val="single" w:sz="4" w:space="0" w:color="auto"/>
              <w:right w:val="single" w:sz="4" w:space="0" w:color="auto"/>
            </w:tcBorders>
            <w:shd w:val="clear" w:color="auto" w:fill="auto"/>
            <w:noWrap/>
            <w:vAlign w:val="bottom"/>
            <w:hideMark/>
          </w:tcPr>
          <w:p w14:paraId="32C3F529" w14:textId="77777777" w:rsidR="00863553" w:rsidRPr="00863553" w:rsidRDefault="00863553" w:rsidP="00863553">
            <w:pPr>
              <w:pStyle w:val="Default"/>
              <w:rPr>
                <w:b/>
                <w:bCs/>
              </w:rPr>
            </w:pPr>
            <w:r w:rsidRPr="00863553">
              <w:rPr>
                <w:b/>
                <w:bCs/>
              </w:rPr>
              <w:t>1,984</w:t>
            </w:r>
          </w:p>
        </w:tc>
        <w:tc>
          <w:tcPr>
            <w:tcW w:w="997" w:type="dxa"/>
            <w:tcBorders>
              <w:top w:val="nil"/>
              <w:left w:val="nil"/>
              <w:bottom w:val="single" w:sz="4" w:space="0" w:color="auto"/>
              <w:right w:val="single" w:sz="4" w:space="0" w:color="auto"/>
            </w:tcBorders>
            <w:shd w:val="clear" w:color="auto" w:fill="auto"/>
            <w:noWrap/>
            <w:vAlign w:val="bottom"/>
            <w:hideMark/>
          </w:tcPr>
          <w:p w14:paraId="22A0EB6E" w14:textId="77777777" w:rsidR="00863553" w:rsidRPr="00863553" w:rsidRDefault="00863553" w:rsidP="00863553">
            <w:pPr>
              <w:pStyle w:val="Default"/>
              <w:rPr>
                <w:b/>
                <w:bCs/>
              </w:rPr>
            </w:pPr>
            <w:r w:rsidRPr="00863553">
              <w:rPr>
                <w:b/>
                <w:bCs/>
              </w:rPr>
              <w:t>15,990</w:t>
            </w:r>
          </w:p>
        </w:tc>
      </w:tr>
      <w:tr w:rsidR="00863553" w:rsidRPr="00863553" w14:paraId="6F16F672" w14:textId="77777777" w:rsidTr="00F03AD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FC50B1E" w14:textId="77777777" w:rsidR="00863553" w:rsidRPr="00863553" w:rsidRDefault="00863553" w:rsidP="00863553">
            <w:pPr>
              <w:pStyle w:val="Default"/>
              <w:rPr>
                <w:b/>
                <w:bCs/>
              </w:rPr>
            </w:pPr>
            <w:r w:rsidRPr="00863553">
              <w:rPr>
                <w:b/>
                <w:bCs/>
              </w:rPr>
              <w:t>2012</w:t>
            </w:r>
          </w:p>
        </w:tc>
        <w:tc>
          <w:tcPr>
            <w:tcW w:w="1460" w:type="dxa"/>
            <w:tcBorders>
              <w:top w:val="nil"/>
              <w:left w:val="nil"/>
              <w:bottom w:val="single" w:sz="4" w:space="0" w:color="auto"/>
              <w:right w:val="single" w:sz="4" w:space="0" w:color="auto"/>
            </w:tcBorders>
            <w:shd w:val="clear" w:color="auto" w:fill="auto"/>
            <w:vAlign w:val="center"/>
            <w:hideMark/>
          </w:tcPr>
          <w:p w14:paraId="65483352" w14:textId="77777777" w:rsidR="00863553" w:rsidRPr="00863553" w:rsidRDefault="00863553" w:rsidP="00863553">
            <w:pPr>
              <w:pStyle w:val="Default"/>
              <w:rPr>
                <w:b/>
                <w:bCs/>
              </w:rPr>
            </w:pPr>
            <w:r w:rsidRPr="00863553">
              <w:rPr>
                <w:b/>
                <w:bCs/>
              </w:rPr>
              <w:t>10</w:t>
            </w:r>
          </w:p>
        </w:tc>
        <w:tc>
          <w:tcPr>
            <w:tcW w:w="997" w:type="dxa"/>
            <w:tcBorders>
              <w:top w:val="nil"/>
              <w:left w:val="nil"/>
              <w:bottom w:val="single" w:sz="4" w:space="0" w:color="auto"/>
              <w:right w:val="single" w:sz="4" w:space="0" w:color="auto"/>
            </w:tcBorders>
            <w:shd w:val="clear" w:color="auto" w:fill="auto"/>
            <w:noWrap/>
            <w:vAlign w:val="bottom"/>
            <w:hideMark/>
          </w:tcPr>
          <w:p w14:paraId="1DE5BE30" w14:textId="77777777" w:rsidR="00863553" w:rsidRPr="00863553" w:rsidRDefault="00863553" w:rsidP="00863553">
            <w:pPr>
              <w:pStyle w:val="Default"/>
              <w:rPr>
                <w:b/>
                <w:bCs/>
              </w:rPr>
            </w:pPr>
            <w:r w:rsidRPr="00863553">
              <w:rPr>
                <w:b/>
                <w:bCs/>
              </w:rPr>
              <w:t>69,073</w:t>
            </w:r>
          </w:p>
        </w:tc>
        <w:tc>
          <w:tcPr>
            <w:tcW w:w="997" w:type="dxa"/>
            <w:tcBorders>
              <w:top w:val="nil"/>
              <w:left w:val="nil"/>
              <w:bottom w:val="single" w:sz="4" w:space="0" w:color="auto"/>
              <w:right w:val="single" w:sz="4" w:space="0" w:color="auto"/>
            </w:tcBorders>
            <w:shd w:val="clear" w:color="auto" w:fill="auto"/>
            <w:noWrap/>
            <w:vAlign w:val="bottom"/>
            <w:hideMark/>
          </w:tcPr>
          <w:p w14:paraId="11BDF269" w14:textId="77777777" w:rsidR="00863553" w:rsidRPr="00863553" w:rsidRDefault="00863553" w:rsidP="00863553">
            <w:pPr>
              <w:pStyle w:val="Default"/>
              <w:rPr>
                <w:b/>
                <w:bCs/>
              </w:rPr>
            </w:pPr>
            <w:r w:rsidRPr="00863553">
              <w:rPr>
                <w:b/>
                <w:bCs/>
              </w:rPr>
              <w:t>3,137</w:t>
            </w:r>
          </w:p>
        </w:tc>
        <w:tc>
          <w:tcPr>
            <w:tcW w:w="850" w:type="dxa"/>
            <w:tcBorders>
              <w:top w:val="nil"/>
              <w:left w:val="nil"/>
              <w:bottom w:val="single" w:sz="4" w:space="0" w:color="auto"/>
              <w:right w:val="single" w:sz="4" w:space="0" w:color="auto"/>
            </w:tcBorders>
            <w:shd w:val="clear" w:color="auto" w:fill="auto"/>
            <w:noWrap/>
            <w:vAlign w:val="bottom"/>
            <w:hideMark/>
          </w:tcPr>
          <w:p w14:paraId="3F0957BF" w14:textId="77777777" w:rsidR="00863553" w:rsidRPr="00863553" w:rsidRDefault="00863553" w:rsidP="00863553">
            <w:pPr>
              <w:pStyle w:val="Default"/>
              <w:rPr>
                <w:b/>
                <w:bCs/>
              </w:rPr>
            </w:pPr>
            <w:r w:rsidRPr="00863553">
              <w:rPr>
                <w:b/>
                <w:bCs/>
              </w:rPr>
              <w:t>3,820</w:t>
            </w:r>
          </w:p>
        </w:tc>
        <w:tc>
          <w:tcPr>
            <w:tcW w:w="997" w:type="dxa"/>
            <w:tcBorders>
              <w:top w:val="nil"/>
              <w:left w:val="nil"/>
              <w:bottom w:val="single" w:sz="4" w:space="0" w:color="auto"/>
              <w:right w:val="single" w:sz="4" w:space="0" w:color="auto"/>
            </w:tcBorders>
            <w:shd w:val="clear" w:color="auto" w:fill="auto"/>
            <w:noWrap/>
            <w:vAlign w:val="bottom"/>
            <w:hideMark/>
          </w:tcPr>
          <w:p w14:paraId="64781DAA" w14:textId="77777777" w:rsidR="00863553" w:rsidRPr="00863553" w:rsidRDefault="00863553" w:rsidP="00863553">
            <w:pPr>
              <w:pStyle w:val="Default"/>
              <w:rPr>
                <w:b/>
                <w:bCs/>
              </w:rPr>
            </w:pPr>
            <w:r w:rsidRPr="00863553">
              <w:rPr>
                <w:b/>
                <w:bCs/>
              </w:rPr>
              <w:t>76,030</w:t>
            </w:r>
          </w:p>
        </w:tc>
      </w:tr>
      <w:tr w:rsidR="00863553" w:rsidRPr="00863553" w14:paraId="42E9CA55" w14:textId="77777777" w:rsidTr="00F03AD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EF95EA3" w14:textId="77777777" w:rsidR="00863553" w:rsidRPr="00863553" w:rsidRDefault="00863553" w:rsidP="00863553">
            <w:pPr>
              <w:pStyle w:val="Default"/>
              <w:rPr>
                <w:b/>
                <w:bCs/>
              </w:rPr>
            </w:pPr>
            <w:r w:rsidRPr="00863553">
              <w:rPr>
                <w:b/>
                <w:bCs/>
              </w:rPr>
              <w:t>2012</w:t>
            </w:r>
          </w:p>
        </w:tc>
        <w:tc>
          <w:tcPr>
            <w:tcW w:w="1460" w:type="dxa"/>
            <w:tcBorders>
              <w:top w:val="nil"/>
              <w:left w:val="nil"/>
              <w:bottom w:val="single" w:sz="4" w:space="0" w:color="auto"/>
              <w:right w:val="single" w:sz="4" w:space="0" w:color="auto"/>
            </w:tcBorders>
            <w:shd w:val="clear" w:color="auto" w:fill="auto"/>
            <w:vAlign w:val="center"/>
            <w:hideMark/>
          </w:tcPr>
          <w:p w14:paraId="1FB06A5C" w14:textId="77777777" w:rsidR="00863553" w:rsidRPr="00863553" w:rsidRDefault="00863553" w:rsidP="00863553">
            <w:pPr>
              <w:pStyle w:val="Default"/>
              <w:rPr>
                <w:b/>
                <w:bCs/>
              </w:rPr>
            </w:pPr>
            <w:r w:rsidRPr="00863553">
              <w:rPr>
                <w:b/>
                <w:bCs/>
              </w:rPr>
              <w:t>11</w:t>
            </w:r>
          </w:p>
        </w:tc>
        <w:tc>
          <w:tcPr>
            <w:tcW w:w="997" w:type="dxa"/>
            <w:tcBorders>
              <w:top w:val="nil"/>
              <w:left w:val="nil"/>
              <w:bottom w:val="single" w:sz="4" w:space="0" w:color="auto"/>
              <w:right w:val="single" w:sz="4" w:space="0" w:color="auto"/>
            </w:tcBorders>
            <w:shd w:val="clear" w:color="auto" w:fill="auto"/>
            <w:noWrap/>
            <w:vAlign w:val="bottom"/>
            <w:hideMark/>
          </w:tcPr>
          <w:p w14:paraId="4DED086A" w14:textId="77777777" w:rsidR="00863553" w:rsidRPr="00863553" w:rsidRDefault="00863553" w:rsidP="00863553">
            <w:pPr>
              <w:pStyle w:val="Default"/>
              <w:rPr>
                <w:b/>
                <w:bCs/>
              </w:rPr>
            </w:pPr>
            <w:r w:rsidRPr="00863553">
              <w:rPr>
                <w:b/>
                <w:bCs/>
              </w:rPr>
              <w:t>12,477</w:t>
            </w:r>
          </w:p>
        </w:tc>
        <w:tc>
          <w:tcPr>
            <w:tcW w:w="997" w:type="dxa"/>
            <w:tcBorders>
              <w:top w:val="nil"/>
              <w:left w:val="nil"/>
              <w:bottom w:val="single" w:sz="4" w:space="0" w:color="auto"/>
              <w:right w:val="single" w:sz="4" w:space="0" w:color="auto"/>
            </w:tcBorders>
            <w:shd w:val="clear" w:color="auto" w:fill="auto"/>
            <w:noWrap/>
            <w:vAlign w:val="bottom"/>
            <w:hideMark/>
          </w:tcPr>
          <w:p w14:paraId="19689ECE" w14:textId="77777777" w:rsidR="00863553" w:rsidRPr="00863553" w:rsidRDefault="00863553" w:rsidP="00863553">
            <w:pPr>
              <w:pStyle w:val="Default"/>
              <w:rPr>
                <w:b/>
                <w:bCs/>
              </w:rPr>
            </w:pPr>
            <w:r w:rsidRPr="00863553">
              <w:rPr>
                <w:b/>
                <w:bCs/>
              </w:rPr>
              <w:t>9,339</w:t>
            </w:r>
          </w:p>
        </w:tc>
        <w:tc>
          <w:tcPr>
            <w:tcW w:w="850" w:type="dxa"/>
            <w:tcBorders>
              <w:top w:val="nil"/>
              <w:left w:val="nil"/>
              <w:bottom w:val="single" w:sz="4" w:space="0" w:color="auto"/>
              <w:right w:val="single" w:sz="4" w:space="0" w:color="auto"/>
            </w:tcBorders>
            <w:shd w:val="clear" w:color="auto" w:fill="auto"/>
            <w:noWrap/>
            <w:vAlign w:val="bottom"/>
            <w:hideMark/>
          </w:tcPr>
          <w:p w14:paraId="5DA10593" w14:textId="77777777" w:rsidR="00863553" w:rsidRPr="00863553" w:rsidRDefault="00863553" w:rsidP="00863553">
            <w:pPr>
              <w:pStyle w:val="Default"/>
              <w:rPr>
                <w:b/>
                <w:bCs/>
              </w:rPr>
            </w:pPr>
            <w:r w:rsidRPr="00863553">
              <w:rPr>
                <w:b/>
                <w:bCs/>
              </w:rPr>
              <w:t>3,327</w:t>
            </w:r>
          </w:p>
        </w:tc>
        <w:tc>
          <w:tcPr>
            <w:tcW w:w="997" w:type="dxa"/>
            <w:tcBorders>
              <w:top w:val="nil"/>
              <w:left w:val="nil"/>
              <w:bottom w:val="single" w:sz="4" w:space="0" w:color="auto"/>
              <w:right w:val="single" w:sz="4" w:space="0" w:color="auto"/>
            </w:tcBorders>
            <w:shd w:val="clear" w:color="auto" w:fill="auto"/>
            <w:noWrap/>
            <w:vAlign w:val="bottom"/>
            <w:hideMark/>
          </w:tcPr>
          <w:p w14:paraId="055FAFD9" w14:textId="77777777" w:rsidR="00863553" w:rsidRPr="00863553" w:rsidRDefault="00863553" w:rsidP="00863553">
            <w:pPr>
              <w:pStyle w:val="Default"/>
              <w:rPr>
                <w:b/>
                <w:bCs/>
              </w:rPr>
            </w:pPr>
            <w:r w:rsidRPr="00863553">
              <w:rPr>
                <w:b/>
                <w:bCs/>
              </w:rPr>
              <w:t>25,143</w:t>
            </w:r>
          </w:p>
        </w:tc>
      </w:tr>
      <w:tr w:rsidR="00863553" w:rsidRPr="00863553" w14:paraId="7B9253C1" w14:textId="77777777" w:rsidTr="00F03AD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E04090E" w14:textId="77777777" w:rsidR="00863553" w:rsidRPr="00863553" w:rsidRDefault="00863553" w:rsidP="00863553">
            <w:pPr>
              <w:pStyle w:val="Default"/>
              <w:rPr>
                <w:b/>
                <w:bCs/>
              </w:rPr>
            </w:pPr>
            <w:r w:rsidRPr="00863553">
              <w:rPr>
                <w:b/>
                <w:bCs/>
              </w:rPr>
              <w:t>2012</w:t>
            </w:r>
          </w:p>
        </w:tc>
        <w:tc>
          <w:tcPr>
            <w:tcW w:w="1460" w:type="dxa"/>
            <w:tcBorders>
              <w:top w:val="nil"/>
              <w:left w:val="nil"/>
              <w:bottom w:val="single" w:sz="4" w:space="0" w:color="auto"/>
              <w:right w:val="single" w:sz="4" w:space="0" w:color="auto"/>
            </w:tcBorders>
            <w:shd w:val="clear" w:color="auto" w:fill="auto"/>
            <w:vAlign w:val="center"/>
            <w:hideMark/>
          </w:tcPr>
          <w:p w14:paraId="1BDC2053" w14:textId="77777777" w:rsidR="00863553" w:rsidRPr="00863553" w:rsidRDefault="00863553" w:rsidP="00863553">
            <w:pPr>
              <w:pStyle w:val="Default"/>
              <w:rPr>
                <w:b/>
                <w:bCs/>
              </w:rPr>
            </w:pPr>
            <w:r w:rsidRPr="00863553">
              <w:rPr>
                <w:b/>
                <w:bCs/>
              </w:rPr>
              <w:t>12</w:t>
            </w:r>
          </w:p>
        </w:tc>
        <w:tc>
          <w:tcPr>
            <w:tcW w:w="997" w:type="dxa"/>
            <w:tcBorders>
              <w:top w:val="nil"/>
              <w:left w:val="nil"/>
              <w:bottom w:val="single" w:sz="4" w:space="0" w:color="auto"/>
              <w:right w:val="single" w:sz="4" w:space="0" w:color="auto"/>
            </w:tcBorders>
            <w:shd w:val="clear" w:color="auto" w:fill="auto"/>
            <w:noWrap/>
            <w:vAlign w:val="bottom"/>
            <w:hideMark/>
          </w:tcPr>
          <w:p w14:paraId="66D0D981" w14:textId="77777777" w:rsidR="00863553" w:rsidRPr="00863553" w:rsidRDefault="00863553" w:rsidP="00863553">
            <w:pPr>
              <w:pStyle w:val="Default"/>
              <w:rPr>
                <w:b/>
                <w:bCs/>
              </w:rPr>
            </w:pPr>
            <w:r w:rsidRPr="00863553">
              <w:rPr>
                <w:b/>
                <w:bCs/>
              </w:rPr>
              <w:t>3,971</w:t>
            </w:r>
          </w:p>
        </w:tc>
        <w:tc>
          <w:tcPr>
            <w:tcW w:w="997" w:type="dxa"/>
            <w:tcBorders>
              <w:top w:val="nil"/>
              <w:left w:val="nil"/>
              <w:bottom w:val="single" w:sz="4" w:space="0" w:color="auto"/>
              <w:right w:val="single" w:sz="4" w:space="0" w:color="auto"/>
            </w:tcBorders>
            <w:shd w:val="clear" w:color="auto" w:fill="auto"/>
            <w:noWrap/>
            <w:vAlign w:val="bottom"/>
            <w:hideMark/>
          </w:tcPr>
          <w:p w14:paraId="75352365" w14:textId="77777777" w:rsidR="00863553" w:rsidRPr="00863553" w:rsidRDefault="00863553" w:rsidP="00863553">
            <w:pPr>
              <w:pStyle w:val="Default"/>
              <w:rPr>
                <w:b/>
                <w:bCs/>
              </w:rPr>
            </w:pPr>
            <w:r w:rsidRPr="00863553">
              <w:rPr>
                <w:b/>
                <w:bCs/>
              </w:rPr>
              <w:t>3,499</w:t>
            </w:r>
          </w:p>
        </w:tc>
        <w:tc>
          <w:tcPr>
            <w:tcW w:w="850" w:type="dxa"/>
            <w:tcBorders>
              <w:top w:val="nil"/>
              <w:left w:val="nil"/>
              <w:bottom w:val="single" w:sz="4" w:space="0" w:color="auto"/>
              <w:right w:val="single" w:sz="4" w:space="0" w:color="auto"/>
            </w:tcBorders>
            <w:shd w:val="clear" w:color="auto" w:fill="auto"/>
            <w:noWrap/>
            <w:vAlign w:val="bottom"/>
            <w:hideMark/>
          </w:tcPr>
          <w:p w14:paraId="129BCB5C" w14:textId="77777777" w:rsidR="00863553" w:rsidRPr="00863553" w:rsidRDefault="00863553" w:rsidP="00863553">
            <w:pPr>
              <w:pStyle w:val="Default"/>
              <w:rPr>
                <w:b/>
                <w:bCs/>
              </w:rPr>
            </w:pPr>
            <w:r w:rsidRPr="00863553">
              <w:rPr>
                <w:b/>
                <w:bCs/>
              </w:rPr>
              <w:t>3,078</w:t>
            </w:r>
          </w:p>
        </w:tc>
        <w:tc>
          <w:tcPr>
            <w:tcW w:w="997" w:type="dxa"/>
            <w:tcBorders>
              <w:top w:val="nil"/>
              <w:left w:val="nil"/>
              <w:bottom w:val="single" w:sz="4" w:space="0" w:color="auto"/>
              <w:right w:val="single" w:sz="4" w:space="0" w:color="auto"/>
            </w:tcBorders>
            <w:shd w:val="clear" w:color="auto" w:fill="auto"/>
            <w:noWrap/>
            <w:vAlign w:val="bottom"/>
            <w:hideMark/>
          </w:tcPr>
          <w:p w14:paraId="7DD55106" w14:textId="77777777" w:rsidR="00863553" w:rsidRPr="00863553" w:rsidRDefault="00863553" w:rsidP="00863553">
            <w:pPr>
              <w:pStyle w:val="Default"/>
              <w:rPr>
                <w:b/>
                <w:bCs/>
              </w:rPr>
            </w:pPr>
            <w:r w:rsidRPr="00863553">
              <w:rPr>
                <w:b/>
                <w:bCs/>
              </w:rPr>
              <w:t>10,548</w:t>
            </w:r>
          </w:p>
        </w:tc>
      </w:tr>
      <w:tr w:rsidR="00863553" w:rsidRPr="00863553" w14:paraId="35A74FDC" w14:textId="77777777" w:rsidTr="00F03AD7">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7A407A1" w14:textId="77777777" w:rsidR="00863553" w:rsidRPr="00863553" w:rsidRDefault="00863553" w:rsidP="00863553">
            <w:pPr>
              <w:pStyle w:val="Default"/>
              <w:rPr>
                <w:b/>
                <w:bCs/>
              </w:rPr>
            </w:pPr>
            <w:r w:rsidRPr="00863553">
              <w:rPr>
                <w:b/>
                <w:bCs/>
              </w:rPr>
              <w:t> </w:t>
            </w:r>
          </w:p>
        </w:tc>
        <w:tc>
          <w:tcPr>
            <w:tcW w:w="1460" w:type="dxa"/>
            <w:tcBorders>
              <w:top w:val="nil"/>
              <w:left w:val="nil"/>
              <w:bottom w:val="single" w:sz="4" w:space="0" w:color="auto"/>
              <w:right w:val="single" w:sz="4" w:space="0" w:color="auto"/>
            </w:tcBorders>
            <w:shd w:val="clear" w:color="auto" w:fill="auto"/>
            <w:vAlign w:val="center"/>
            <w:hideMark/>
          </w:tcPr>
          <w:p w14:paraId="2AC57059" w14:textId="77777777" w:rsidR="00863553" w:rsidRPr="00863553" w:rsidRDefault="00863553" w:rsidP="00863553">
            <w:pPr>
              <w:pStyle w:val="Default"/>
              <w:rPr>
                <w:b/>
                <w:bCs/>
              </w:rPr>
            </w:pPr>
            <w:r w:rsidRPr="00863553">
              <w:rPr>
                <w:b/>
                <w:bCs/>
              </w:rPr>
              <w:t> </w:t>
            </w:r>
          </w:p>
        </w:tc>
        <w:tc>
          <w:tcPr>
            <w:tcW w:w="997" w:type="dxa"/>
            <w:tcBorders>
              <w:top w:val="nil"/>
              <w:left w:val="nil"/>
              <w:bottom w:val="single" w:sz="4" w:space="0" w:color="auto"/>
              <w:right w:val="single" w:sz="4" w:space="0" w:color="auto"/>
            </w:tcBorders>
            <w:shd w:val="clear" w:color="auto" w:fill="auto"/>
            <w:noWrap/>
            <w:vAlign w:val="bottom"/>
            <w:hideMark/>
          </w:tcPr>
          <w:p w14:paraId="7373DD65" w14:textId="77777777" w:rsidR="00863553" w:rsidRPr="00863553" w:rsidRDefault="00863553" w:rsidP="00863553">
            <w:pPr>
              <w:pStyle w:val="Default"/>
              <w:rPr>
                <w:b/>
                <w:bCs/>
              </w:rPr>
            </w:pPr>
            <w:r w:rsidRPr="00863553">
              <w:rPr>
                <w:b/>
                <w:bCs/>
              </w:rPr>
              <w:t> </w:t>
            </w:r>
          </w:p>
        </w:tc>
        <w:tc>
          <w:tcPr>
            <w:tcW w:w="997" w:type="dxa"/>
            <w:tcBorders>
              <w:top w:val="nil"/>
              <w:left w:val="nil"/>
              <w:bottom w:val="single" w:sz="4" w:space="0" w:color="auto"/>
              <w:right w:val="single" w:sz="4" w:space="0" w:color="auto"/>
            </w:tcBorders>
            <w:shd w:val="clear" w:color="auto" w:fill="auto"/>
            <w:noWrap/>
            <w:vAlign w:val="bottom"/>
            <w:hideMark/>
          </w:tcPr>
          <w:p w14:paraId="3F016E71" w14:textId="77777777" w:rsidR="00863553" w:rsidRPr="00863553" w:rsidRDefault="00863553" w:rsidP="00863553">
            <w:pPr>
              <w:pStyle w:val="Default"/>
              <w:rPr>
                <w:b/>
                <w:bCs/>
              </w:rPr>
            </w:pPr>
            <w:r w:rsidRPr="00863553">
              <w:rPr>
                <w:b/>
                <w:bCs/>
              </w:rPr>
              <w:t> </w:t>
            </w:r>
          </w:p>
        </w:tc>
        <w:tc>
          <w:tcPr>
            <w:tcW w:w="850" w:type="dxa"/>
            <w:tcBorders>
              <w:top w:val="nil"/>
              <w:left w:val="nil"/>
              <w:bottom w:val="single" w:sz="4" w:space="0" w:color="auto"/>
              <w:right w:val="single" w:sz="4" w:space="0" w:color="auto"/>
            </w:tcBorders>
            <w:shd w:val="clear" w:color="auto" w:fill="auto"/>
            <w:noWrap/>
            <w:vAlign w:val="bottom"/>
            <w:hideMark/>
          </w:tcPr>
          <w:p w14:paraId="34F6BD8B" w14:textId="77777777" w:rsidR="00863553" w:rsidRPr="00863553" w:rsidRDefault="00863553" w:rsidP="00863553">
            <w:pPr>
              <w:pStyle w:val="Default"/>
              <w:rPr>
                <w:b/>
                <w:bCs/>
              </w:rPr>
            </w:pPr>
            <w:r w:rsidRPr="00863553">
              <w:rPr>
                <w:b/>
                <w:bCs/>
              </w:rPr>
              <w:t> </w:t>
            </w:r>
          </w:p>
        </w:tc>
        <w:tc>
          <w:tcPr>
            <w:tcW w:w="997" w:type="dxa"/>
            <w:tcBorders>
              <w:top w:val="nil"/>
              <w:left w:val="nil"/>
              <w:bottom w:val="single" w:sz="4" w:space="0" w:color="auto"/>
              <w:right w:val="single" w:sz="4" w:space="0" w:color="auto"/>
            </w:tcBorders>
            <w:shd w:val="clear" w:color="auto" w:fill="auto"/>
            <w:noWrap/>
            <w:vAlign w:val="bottom"/>
            <w:hideMark/>
          </w:tcPr>
          <w:p w14:paraId="78D244D3" w14:textId="77777777" w:rsidR="00863553" w:rsidRPr="00863553" w:rsidRDefault="00863553" w:rsidP="00863553">
            <w:pPr>
              <w:pStyle w:val="Default"/>
              <w:rPr>
                <w:b/>
                <w:bCs/>
              </w:rPr>
            </w:pPr>
            <w:r w:rsidRPr="00863553">
              <w:rPr>
                <w:b/>
                <w:bCs/>
              </w:rPr>
              <w:t> </w:t>
            </w:r>
          </w:p>
        </w:tc>
      </w:tr>
      <w:tr w:rsidR="00863553" w:rsidRPr="00863553" w14:paraId="319EF857" w14:textId="77777777" w:rsidTr="00F03AD7">
        <w:trPr>
          <w:trHeight w:val="300"/>
        </w:trPr>
        <w:tc>
          <w:tcPr>
            <w:tcW w:w="1120" w:type="dxa"/>
            <w:tcBorders>
              <w:top w:val="nil"/>
              <w:left w:val="single" w:sz="4" w:space="0" w:color="auto"/>
              <w:bottom w:val="single" w:sz="4" w:space="0" w:color="auto"/>
              <w:right w:val="single" w:sz="4" w:space="0" w:color="auto"/>
            </w:tcBorders>
            <w:shd w:val="clear" w:color="000000" w:fill="D8E4BC"/>
            <w:vAlign w:val="center"/>
            <w:hideMark/>
          </w:tcPr>
          <w:p w14:paraId="6EAF727A" w14:textId="77777777" w:rsidR="00863553" w:rsidRPr="00863553" w:rsidRDefault="00863553" w:rsidP="00863553">
            <w:pPr>
              <w:pStyle w:val="Default"/>
              <w:rPr>
                <w:b/>
                <w:bCs/>
              </w:rPr>
            </w:pPr>
            <w:r w:rsidRPr="00863553">
              <w:rPr>
                <w:b/>
                <w:bCs/>
              </w:rPr>
              <w:t>2012</w:t>
            </w:r>
          </w:p>
        </w:tc>
        <w:tc>
          <w:tcPr>
            <w:tcW w:w="1460" w:type="dxa"/>
            <w:tcBorders>
              <w:top w:val="nil"/>
              <w:left w:val="nil"/>
              <w:bottom w:val="single" w:sz="4" w:space="0" w:color="auto"/>
              <w:right w:val="single" w:sz="4" w:space="0" w:color="auto"/>
            </w:tcBorders>
            <w:shd w:val="clear" w:color="000000" w:fill="D8E4BC"/>
            <w:vAlign w:val="center"/>
            <w:hideMark/>
          </w:tcPr>
          <w:p w14:paraId="5BC79E11" w14:textId="77777777" w:rsidR="00863553" w:rsidRPr="00863553" w:rsidRDefault="00863553" w:rsidP="00863553">
            <w:pPr>
              <w:pStyle w:val="Default"/>
              <w:rPr>
                <w:b/>
                <w:bCs/>
              </w:rPr>
            </w:pPr>
            <w:r w:rsidRPr="00863553">
              <w:rPr>
                <w:b/>
                <w:bCs/>
              </w:rPr>
              <w:t>TOTAL</w:t>
            </w:r>
          </w:p>
        </w:tc>
        <w:tc>
          <w:tcPr>
            <w:tcW w:w="997" w:type="dxa"/>
            <w:tcBorders>
              <w:top w:val="nil"/>
              <w:left w:val="nil"/>
              <w:bottom w:val="single" w:sz="4" w:space="0" w:color="auto"/>
              <w:right w:val="single" w:sz="4" w:space="0" w:color="auto"/>
            </w:tcBorders>
            <w:shd w:val="clear" w:color="000000" w:fill="D8E4BC"/>
            <w:noWrap/>
            <w:vAlign w:val="bottom"/>
            <w:hideMark/>
          </w:tcPr>
          <w:p w14:paraId="1407D3CF" w14:textId="77777777" w:rsidR="00863553" w:rsidRPr="00863553" w:rsidRDefault="00863553" w:rsidP="00863553">
            <w:pPr>
              <w:pStyle w:val="Default"/>
              <w:rPr>
                <w:b/>
                <w:bCs/>
              </w:rPr>
            </w:pPr>
            <w:r w:rsidRPr="00863553">
              <w:rPr>
                <w:b/>
                <w:bCs/>
              </w:rPr>
              <w:t>122,830</w:t>
            </w:r>
          </w:p>
        </w:tc>
        <w:tc>
          <w:tcPr>
            <w:tcW w:w="997" w:type="dxa"/>
            <w:tcBorders>
              <w:top w:val="nil"/>
              <w:left w:val="nil"/>
              <w:bottom w:val="single" w:sz="4" w:space="0" w:color="auto"/>
              <w:right w:val="single" w:sz="4" w:space="0" w:color="auto"/>
            </w:tcBorders>
            <w:shd w:val="clear" w:color="000000" w:fill="D8E4BC"/>
            <w:noWrap/>
            <w:vAlign w:val="bottom"/>
            <w:hideMark/>
          </w:tcPr>
          <w:p w14:paraId="0B5579AE" w14:textId="77777777" w:rsidR="00863553" w:rsidRPr="00863553" w:rsidRDefault="00863553" w:rsidP="00863553">
            <w:pPr>
              <w:pStyle w:val="Default"/>
              <w:rPr>
                <w:b/>
                <w:bCs/>
              </w:rPr>
            </w:pPr>
            <w:r w:rsidRPr="00863553">
              <w:rPr>
                <w:b/>
                <w:bCs/>
              </w:rPr>
              <w:t>106,317</w:t>
            </w:r>
          </w:p>
        </w:tc>
        <w:tc>
          <w:tcPr>
            <w:tcW w:w="850" w:type="dxa"/>
            <w:tcBorders>
              <w:top w:val="nil"/>
              <w:left w:val="nil"/>
              <w:bottom w:val="single" w:sz="4" w:space="0" w:color="auto"/>
              <w:right w:val="single" w:sz="4" w:space="0" w:color="auto"/>
            </w:tcBorders>
            <w:shd w:val="clear" w:color="000000" w:fill="D8E4BC"/>
            <w:noWrap/>
            <w:vAlign w:val="bottom"/>
            <w:hideMark/>
          </w:tcPr>
          <w:p w14:paraId="6929B4A4" w14:textId="77777777" w:rsidR="00863553" w:rsidRPr="00863553" w:rsidRDefault="00863553" w:rsidP="00863553">
            <w:pPr>
              <w:pStyle w:val="Default"/>
              <w:rPr>
                <w:b/>
                <w:bCs/>
              </w:rPr>
            </w:pPr>
            <w:r w:rsidRPr="00863553">
              <w:rPr>
                <w:b/>
                <w:bCs/>
              </w:rPr>
              <w:t>30,785</w:t>
            </w:r>
          </w:p>
        </w:tc>
        <w:tc>
          <w:tcPr>
            <w:tcW w:w="997" w:type="dxa"/>
            <w:tcBorders>
              <w:top w:val="nil"/>
              <w:left w:val="nil"/>
              <w:bottom w:val="single" w:sz="4" w:space="0" w:color="auto"/>
              <w:right w:val="single" w:sz="4" w:space="0" w:color="auto"/>
            </w:tcBorders>
            <w:shd w:val="clear" w:color="000000" w:fill="D8E4BC"/>
            <w:noWrap/>
            <w:vAlign w:val="bottom"/>
            <w:hideMark/>
          </w:tcPr>
          <w:p w14:paraId="0003ECC5" w14:textId="77777777" w:rsidR="00863553" w:rsidRPr="00863553" w:rsidRDefault="00863553" w:rsidP="00863553">
            <w:pPr>
              <w:pStyle w:val="Default"/>
              <w:rPr>
                <w:b/>
                <w:bCs/>
              </w:rPr>
            </w:pPr>
            <w:r w:rsidRPr="00863553">
              <w:rPr>
                <w:b/>
                <w:bCs/>
              </w:rPr>
              <w:t>259,932</w:t>
            </w:r>
          </w:p>
        </w:tc>
      </w:tr>
    </w:tbl>
    <w:p w14:paraId="3AA9F2FB" w14:textId="77777777" w:rsidR="00863553" w:rsidRPr="00863553" w:rsidRDefault="00863553" w:rsidP="00863553">
      <w:pPr>
        <w:pStyle w:val="Default"/>
        <w:rPr>
          <w:b/>
          <w:bCs/>
          <w:lang w:val="en-NZ"/>
        </w:rPr>
      </w:pPr>
    </w:p>
    <w:p w14:paraId="2E7EF3F5" w14:textId="77777777" w:rsidR="00737475" w:rsidRDefault="00737475" w:rsidP="00C8418C">
      <w:pPr>
        <w:pStyle w:val="Default"/>
        <w:rPr>
          <w:bCs/>
          <w:sz w:val="22"/>
          <w:szCs w:val="22"/>
        </w:rPr>
      </w:pPr>
    </w:p>
    <w:p w14:paraId="5761C64F" w14:textId="77777777" w:rsidR="005C743F" w:rsidRDefault="005C743F" w:rsidP="00C8418C">
      <w:pPr>
        <w:pStyle w:val="Default"/>
        <w:rPr>
          <w:bCs/>
          <w:sz w:val="22"/>
          <w:szCs w:val="22"/>
        </w:rPr>
      </w:pPr>
    </w:p>
    <w:p w14:paraId="5D01A967" w14:textId="77777777" w:rsidR="00E27618" w:rsidRPr="00E27618" w:rsidRDefault="00E27618" w:rsidP="00E27618">
      <w:pPr>
        <w:shd w:val="clear" w:color="auto" w:fill="E5DFEC" w:themeFill="accent4" w:themeFillTint="33"/>
        <w:spacing w:line="240" w:lineRule="auto"/>
        <w:rPr>
          <w:rFonts w:ascii="Times New Roman" w:hAnsi="Times New Roman" w:cs="Times New Roman"/>
          <w:b/>
          <w:bCs/>
        </w:rPr>
      </w:pPr>
      <w:r w:rsidRPr="00E27618">
        <w:rPr>
          <w:rFonts w:ascii="Times New Roman" w:hAnsi="Times New Roman" w:cs="Times New Roman"/>
          <w:b/>
          <w:bCs/>
        </w:rPr>
        <w:t>RESEARCH AND STATISTICS</w:t>
      </w:r>
    </w:p>
    <w:p w14:paraId="23CCB30E" w14:textId="77777777" w:rsidR="00E27618" w:rsidRPr="000F4FB9" w:rsidRDefault="00E27618" w:rsidP="00E27618">
      <w:pPr>
        <w:pStyle w:val="Default"/>
        <w:rPr>
          <w:lang w:val="en-NZ"/>
        </w:rPr>
      </w:pPr>
      <w:r w:rsidRPr="000F4FB9">
        <w:rPr>
          <w:lang w:val="en-NZ"/>
        </w:rPr>
        <w:t xml:space="preserve">Tokelau is seriously concerned about the quality of catch and effort data relating to the Tokelau EEZ fisheries.  Due to a variety of reasons—including poor administration and IUU fishing—the fisheries statistics for the Tokelau EEZ are less than adequate.  While not necessarily material for stock assessment purposes, Tokelau will not be constrained by the paucity and poor quality of the catch and effort data as it proceeds to determine the nature and extent of the fishing rights in its EEZ.   </w:t>
      </w:r>
    </w:p>
    <w:p w14:paraId="7EFDE35E" w14:textId="77777777" w:rsidR="00E27618" w:rsidRPr="00E27618" w:rsidRDefault="00E27618" w:rsidP="00E27618">
      <w:pPr>
        <w:pStyle w:val="Default"/>
        <w:rPr>
          <w:b/>
          <w:bCs/>
          <w:lang w:val="en-NZ"/>
        </w:rPr>
      </w:pPr>
      <w:r w:rsidRPr="00E27618">
        <w:rPr>
          <w:b/>
          <w:bCs/>
          <w:lang w:val="en-NZ"/>
        </w:rPr>
        <w:t xml:space="preserve"> </w:t>
      </w:r>
    </w:p>
    <w:p w14:paraId="6D0891B2" w14:textId="77777777" w:rsidR="00E27618" w:rsidRPr="00E27618" w:rsidRDefault="00E27618" w:rsidP="00E27618">
      <w:pPr>
        <w:pStyle w:val="Default"/>
        <w:rPr>
          <w:b/>
          <w:bCs/>
          <w:lang w:val="en-NZ"/>
        </w:rPr>
      </w:pPr>
      <w:r w:rsidRPr="000D66A6">
        <w:rPr>
          <w:b/>
          <w:bCs/>
          <w:sz w:val="22"/>
          <w:szCs w:val="22"/>
        </w:rPr>
        <w:t>TUFMAN</w:t>
      </w:r>
      <w:r w:rsidRPr="000D66A6">
        <w:rPr>
          <w:b/>
          <w:bCs/>
          <w:sz w:val="22"/>
          <w:szCs w:val="22"/>
        </w:rPr>
        <w:tab/>
      </w:r>
      <w:r w:rsidRPr="000D66A6">
        <w:rPr>
          <w:rFonts w:ascii="Cambria Math" w:hAnsi="Cambria Math" w:cs="Cambria Math"/>
          <w:b/>
          <w:bCs/>
          <w:sz w:val="22"/>
          <w:szCs w:val="22"/>
        </w:rPr>
        <w:t>‐</w:t>
      </w:r>
      <w:r w:rsidRPr="000D66A6">
        <w:rPr>
          <w:b/>
          <w:bCs/>
          <w:sz w:val="22"/>
          <w:szCs w:val="22"/>
        </w:rPr>
        <w:tab/>
        <w:t>TUF</w:t>
      </w:r>
      <w:r w:rsidRPr="000D66A6">
        <w:rPr>
          <w:rFonts w:ascii="Cambria Math" w:hAnsi="Cambria Math" w:cs="Cambria Math"/>
          <w:b/>
          <w:bCs/>
          <w:sz w:val="22"/>
          <w:szCs w:val="22"/>
        </w:rPr>
        <w:t>‐</w:t>
      </w:r>
      <w:r w:rsidRPr="000D66A6">
        <w:rPr>
          <w:b/>
          <w:bCs/>
          <w:sz w:val="22"/>
          <w:szCs w:val="22"/>
        </w:rPr>
        <w:t>ART</w:t>
      </w:r>
      <w:r w:rsidRPr="00E27618">
        <w:rPr>
          <w:b/>
          <w:bCs/>
          <w:lang w:val="en-NZ"/>
        </w:rPr>
        <w:tab/>
      </w:r>
    </w:p>
    <w:p w14:paraId="7CCA3FF0" w14:textId="77777777" w:rsidR="00E27618" w:rsidRPr="000F4FB9" w:rsidRDefault="00E27618" w:rsidP="00E27618">
      <w:pPr>
        <w:pStyle w:val="Default"/>
        <w:rPr>
          <w:lang w:val="en-NZ"/>
        </w:rPr>
      </w:pPr>
      <w:r w:rsidRPr="000F4FB9">
        <w:rPr>
          <w:lang w:val="en-NZ"/>
        </w:rPr>
        <w:t xml:space="preserve">The tuna research and statistical needs of Tokelau are largely met by the assistance and support of the SPC Oceanic Fisheries Programme. Part of this assistance is the implementation of the Tuna Management System (TUFMAN) in Tokelau. It is </w:t>
      </w:r>
      <w:r w:rsidR="00662CF6">
        <w:rPr>
          <w:lang w:val="en-NZ"/>
        </w:rPr>
        <w:t>now</w:t>
      </w:r>
      <w:r w:rsidRPr="000F4FB9">
        <w:rPr>
          <w:lang w:val="en-NZ"/>
        </w:rPr>
        <w:t xml:space="preserve"> fully functional</w:t>
      </w:r>
      <w:r w:rsidR="00662CF6">
        <w:rPr>
          <w:lang w:val="en-NZ"/>
        </w:rPr>
        <w:t xml:space="preserve"> with ongoing assistance with training as new systems are developed</w:t>
      </w:r>
      <w:r w:rsidRPr="000F4FB9">
        <w:rPr>
          <w:lang w:val="en-NZ"/>
        </w:rPr>
        <w:t xml:space="preserve">. This initiative will empower the fisheries division with a tool to help provide advice to local government and also help fulfil its obligations and commitments to the commission and other regional organisations. Whilst TUFMAN manages the commercial data (offshore fisheries) TUF-ART </w:t>
      </w:r>
      <w:r w:rsidR="00662CF6">
        <w:rPr>
          <w:lang w:val="en-NZ"/>
        </w:rPr>
        <w:t xml:space="preserve">has </w:t>
      </w:r>
      <w:r w:rsidRPr="000F4FB9">
        <w:rPr>
          <w:lang w:val="en-NZ"/>
        </w:rPr>
        <w:t>be</w:t>
      </w:r>
      <w:r w:rsidR="00662CF6">
        <w:rPr>
          <w:lang w:val="en-NZ"/>
        </w:rPr>
        <w:t>en</w:t>
      </w:r>
      <w:r w:rsidRPr="000F4FB9">
        <w:rPr>
          <w:lang w:val="en-NZ"/>
        </w:rPr>
        <w:t xml:space="preserve"> implemented for managing the artisanal fishery (inshore fisheries).  </w:t>
      </w:r>
    </w:p>
    <w:p w14:paraId="7603D824" w14:textId="77777777" w:rsidR="00E27618" w:rsidRPr="000F4FB9" w:rsidRDefault="00E27618" w:rsidP="00E27618">
      <w:pPr>
        <w:pStyle w:val="Default"/>
        <w:rPr>
          <w:lang w:val="en-NZ"/>
        </w:rPr>
      </w:pPr>
    </w:p>
    <w:p w14:paraId="0C87C3F5" w14:textId="77777777" w:rsidR="00FB6416" w:rsidRDefault="00E27618" w:rsidP="00E27618">
      <w:pPr>
        <w:pStyle w:val="Default"/>
        <w:rPr>
          <w:lang w:val="en-NZ"/>
        </w:rPr>
      </w:pPr>
      <w:r w:rsidRPr="00FB6416">
        <w:rPr>
          <w:b/>
          <w:bCs/>
          <w:sz w:val="22"/>
          <w:szCs w:val="22"/>
        </w:rPr>
        <w:t>Monitoring</w:t>
      </w:r>
      <w:r w:rsidRPr="000F4FB9">
        <w:rPr>
          <w:lang w:val="en-NZ"/>
        </w:rPr>
        <w:tab/>
      </w:r>
    </w:p>
    <w:p w14:paraId="4F75509D" w14:textId="08486979" w:rsidR="00E27618" w:rsidRPr="00AD1C5D" w:rsidRDefault="00E27618" w:rsidP="00E27618">
      <w:pPr>
        <w:pStyle w:val="Default"/>
        <w:rPr>
          <w:bCs/>
        </w:rPr>
      </w:pPr>
      <w:r w:rsidRPr="000F4FB9">
        <w:rPr>
          <w:lang w:val="en-NZ"/>
        </w:rPr>
        <w:t xml:space="preserve">All foreign fishing vessels that are licensed to fish in Tokelau waters are required to carry an FFA approved Automatic Location Communicator (ALC) or Mobile Transmitting Unit (MTU) and whilst within Tokelau waters, they are monitored by the FFA installed </w:t>
      </w:r>
      <w:r w:rsidR="00E724CA">
        <w:rPr>
          <w:lang w:val="en-NZ"/>
        </w:rPr>
        <w:t>Vessel Monitoring Systems (VMS)</w:t>
      </w:r>
      <w:r w:rsidR="00C244D2">
        <w:rPr>
          <w:lang w:val="en-NZ"/>
        </w:rPr>
        <w:t xml:space="preserve">. </w:t>
      </w:r>
      <w:r w:rsidR="00E724CA">
        <w:rPr>
          <w:lang w:val="en-NZ"/>
        </w:rPr>
        <w:t xml:space="preserve">This is a critical part of MCS and a workstation </w:t>
      </w:r>
      <w:r w:rsidRPr="000F4FB9">
        <w:rPr>
          <w:lang w:val="en-NZ"/>
        </w:rPr>
        <w:t>was installed in Toke</w:t>
      </w:r>
      <w:r w:rsidR="00AD1C5D">
        <w:rPr>
          <w:lang w:val="en-NZ"/>
        </w:rPr>
        <w:t xml:space="preserve">lau in 2005. </w:t>
      </w:r>
      <w:r w:rsidR="00AD1C5D">
        <w:rPr>
          <w:bCs/>
        </w:rPr>
        <w:t xml:space="preserve">Tokelau </w:t>
      </w:r>
      <w:r w:rsidR="00AD1C5D" w:rsidRPr="00AD1C5D">
        <w:rPr>
          <w:bCs/>
        </w:rPr>
        <w:t xml:space="preserve">aims to strengthen MCS capabilities, through participation in </w:t>
      </w:r>
      <w:r w:rsidR="00AD1C5D" w:rsidRPr="00AD1C5D">
        <w:rPr>
          <w:bCs/>
        </w:rPr>
        <w:lastRenderedPageBreak/>
        <w:t>regional and sub-regional strategies and through u</w:t>
      </w:r>
      <w:r w:rsidR="00AD1C5D">
        <w:rPr>
          <w:bCs/>
        </w:rPr>
        <w:t>se of regional infrastructure. Due to</w:t>
      </w:r>
      <w:r w:rsidR="00AD1C5D" w:rsidRPr="00AD1C5D">
        <w:rPr>
          <w:bCs/>
        </w:rPr>
        <w:t xml:space="preserve"> limited resources available, Tokelau must participate in regional and sub-regional collaborations to combat IUU in the Tokelau EEZ. </w:t>
      </w:r>
      <w:r w:rsidR="00E724CA" w:rsidRPr="00E724CA">
        <w:rPr>
          <w:bCs/>
        </w:rPr>
        <w:t>As a member of the Palau Arrangement, Tokelau is now implementing the VDS for their purse seine fisheries</w:t>
      </w:r>
      <w:r w:rsidR="00E724CA">
        <w:rPr>
          <w:bCs/>
        </w:rPr>
        <w:t xml:space="preserve">. </w:t>
      </w:r>
      <w:r w:rsidR="00E724CA" w:rsidRPr="00E724CA">
        <w:rPr>
          <w:bCs/>
        </w:rPr>
        <w:t>Any vessels operating under a new US Tuna Treaty will also use the PNA VDS.</w:t>
      </w:r>
    </w:p>
    <w:p w14:paraId="62A2833B" w14:textId="77777777" w:rsidR="00E27618" w:rsidRPr="000F4FB9" w:rsidRDefault="00E27618" w:rsidP="00E27618">
      <w:pPr>
        <w:pStyle w:val="Default"/>
        <w:rPr>
          <w:lang w:val="en-NZ"/>
        </w:rPr>
      </w:pPr>
    </w:p>
    <w:p w14:paraId="5537E3F6" w14:textId="37AF5B14" w:rsidR="00FB6416" w:rsidRDefault="00E27618" w:rsidP="00E27618">
      <w:pPr>
        <w:pStyle w:val="Default"/>
        <w:rPr>
          <w:lang w:val="en-NZ"/>
        </w:rPr>
      </w:pPr>
      <w:r w:rsidRPr="000F4FB9">
        <w:rPr>
          <w:lang w:val="en-NZ"/>
        </w:rPr>
        <w:t xml:space="preserve">Tokelau </w:t>
      </w:r>
      <w:r w:rsidR="00AD1C5D">
        <w:rPr>
          <w:lang w:val="en-NZ"/>
        </w:rPr>
        <w:t xml:space="preserve">appreciates the value an </w:t>
      </w:r>
      <w:r w:rsidRPr="000F4FB9">
        <w:rPr>
          <w:lang w:val="en-NZ"/>
        </w:rPr>
        <w:t>Observer Programme</w:t>
      </w:r>
      <w:r w:rsidR="00AD1C5D">
        <w:rPr>
          <w:lang w:val="en-NZ"/>
        </w:rPr>
        <w:t xml:space="preserve"> </w:t>
      </w:r>
      <w:r w:rsidR="00B273DE">
        <w:rPr>
          <w:lang w:val="en-NZ"/>
        </w:rPr>
        <w:t xml:space="preserve">and will consider </w:t>
      </w:r>
      <w:r w:rsidR="00E724CA">
        <w:rPr>
          <w:lang w:val="en-NZ"/>
        </w:rPr>
        <w:t>appropriate</w:t>
      </w:r>
      <w:r w:rsidR="00B273DE">
        <w:rPr>
          <w:lang w:val="en-NZ"/>
        </w:rPr>
        <w:t xml:space="preserve"> collaborative effort in the region</w:t>
      </w:r>
      <w:r w:rsidR="00E724CA">
        <w:rPr>
          <w:lang w:val="en-NZ"/>
        </w:rPr>
        <w:t>. I</w:t>
      </w:r>
      <w:r w:rsidR="00B273DE">
        <w:rPr>
          <w:lang w:val="en-NZ"/>
        </w:rPr>
        <w:t xml:space="preserve">n the meanwhile </w:t>
      </w:r>
      <w:r w:rsidRPr="000F4FB9">
        <w:rPr>
          <w:lang w:val="en-NZ"/>
        </w:rPr>
        <w:t xml:space="preserve">required observer services are provided by other FFA members’ country observer programmes. Tokelau has no port and wharfage infrastructure so there </w:t>
      </w:r>
      <w:r w:rsidR="00B273DE">
        <w:rPr>
          <w:lang w:val="en-NZ"/>
        </w:rPr>
        <w:t xml:space="preserve">is no Port Sampling Programme. </w:t>
      </w:r>
    </w:p>
    <w:p w14:paraId="31B5D1B6" w14:textId="77777777" w:rsidR="00B273DE" w:rsidRPr="000F4FB9" w:rsidRDefault="00B273DE" w:rsidP="00E27618">
      <w:pPr>
        <w:pStyle w:val="Default"/>
        <w:rPr>
          <w:lang w:val="en-NZ"/>
        </w:rPr>
      </w:pPr>
    </w:p>
    <w:p w14:paraId="77EA9BA1" w14:textId="07EBD26D" w:rsidR="00B273DE" w:rsidRDefault="00E27618" w:rsidP="0092562E">
      <w:pPr>
        <w:jc w:val="both"/>
        <w:rPr>
          <w:rFonts w:ascii="Times New Roman" w:hAnsi="Times New Roman" w:cs="Times New Roman"/>
          <w:color w:val="000000"/>
          <w:sz w:val="24"/>
          <w:szCs w:val="24"/>
          <w:lang w:val="en-NZ"/>
        </w:rPr>
      </w:pPr>
      <w:r w:rsidRPr="00AD1C5D">
        <w:rPr>
          <w:rFonts w:ascii="Times New Roman" w:hAnsi="Times New Roman" w:cs="Times New Roman"/>
          <w:color w:val="000000"/>
          <w:sz w:val="24"/>
          <w:szCs w:val="24"/>
          <w:lang w:val="en-NZ"/>
        </w:rPr>
        <w:t xml:space="preserve">Tokelau </w:t>
      </w:r>
      <w:r w:rsidR="00C244D2">
        <w:rPr>
          <w:rFonts w:ascii="Times New Roman" w:hAnsi="Times New Roman" w:cs="Times New Roman"/>
          <w:color w:val="000000"/>
          <w:sz w:val="24"/>
          <w:szCs w:val="24"/>
          <w:lang w:val="en-NZ"/>
        </w:rPr>
        <w:t xml:space="preserve">is a </w:t>
      </w:r>
      <w:r w:rsidRPr="00AD1C5D">
        <w:rPr>
          <w:rFonts w:ascii="Times New Roman" w:hAnsi="Times New Roman" w:cs="Times New Roman"/>
          <w:color w:val="000000"/>
          <w:sz w:val="24"/>
          <w:szCs w:val="24"/>
          <w:lang w:val="en-NZ"/>
        </w:rPr>
        <w:t xml:space="preserve">party </w:t>
      </w:r>
      <w:r w:rsidR="00C244D2">
        <w:rPr>
          <w:rFonts w:ascii="Times New Roman" w:hAnsi="Times New Roman" w:cs="Times New Roman"/>
          <w:color w:val="000000"/>
          <w:sz w:val="24"/>
          <w:szCs w:val="24"/>
          <w:lang w:val="en-NZ"/>
        </w:rPr>
        <w:t xml:space="preserve">to the Te Vaka Toa arrangement and it </w:t>
      </w:r>
      <w:r w:rsidRPr="00AD1C5D">
        <w:rPr>
          <w:rFonts w:ascii="Times New Roman" w:hAnsi="Times New Roman" w:cs="Times New Roman"/>
          <w:color w:val="000000"/>
          <w:sz w:val="24"/>
          <w:szCs w:val="24"/>
          <w:lang w:val="en-NZ"/>
        </w:rPr>
        <w:t xml:space="preserve">provides for parties to work collaboratively with respect to monitoring and enforcement in their EEZs. </w:t>
      </w:r>
      <w:r w:rsidR="00B273DE" w:rsidRPr="00B273DE">
        <w:rPr>
          <w:rFonts w:ascii="Times New Roman" w:hAnsi="Times New Roman" w:cs="Times New Roman"/>
          <w:bCs/>
          <w:color w:val="000000"/>
          <w:sz w:val="24"/>
          <w:szCs w:val="24"/>
        </w:rPr>
        <w:t>Tokelau is committed to sharing MCS assets and information with other members</w:t>
      </w:r>
      <w:r w:rsidR="00B273DE" w:rsidRPr="00B273DE">
        <w:rPr>
          <w:rFonts w:ascii="Times New Roman" w:hAnsi="Times New Roman" w:cs="Times New Roman"/>
          <w:color w:val="000000"/>
          <w:sz w:val="24"/>
          <w:szCs w:val="24"/>
          <w:lang w:val="en-NZ"/>
        </w:rPr>
        <w:t xml:space="preserve"> </w:t>
      </w:r>
      <w:r w:rsidR="00B273DE">
        <w:rPr>
          <w:rFonts w:ascii="Times New Roman" w:hAnsi="Times New Roman" w:cs="Times New Roman"/>
          <w:color w:val="000000"/>
          <w:sz w:val="24"/>
          <w:szCs w:val="24"/>
          <w:lang w:val="en-NZ"/>
        </w:rPr>
        <w:t xml:space="preserve">with the view that in </w:t>
      </w:r>
      <w:r w:rsidRPr="00AD1C5D">
        <w:rPr>
          <w:rFonts w:ascii="Times New Roman" w:hAnsi="Times New Roman" w:cs="Times New Roman"/>
          <w:color w:val="000000"/>
          <w:sz w:val="24"/>
          <w:szCs w:val="24"/>
          <w:lang w:val="en-NZ"/>
        </w:rPr>
        <w:t>time the Te Vaka Toa arrangement will strengthen the MCS arrangements for Tokelau’s EEZ.</w:t>
      </w:r>
    </w:p>
    <w:p w14:paraId="664AB2FA" w14:textId="77777777" w:rsidR="00E27618" w:rsidRDefault="00E27618" w:rsidP="00C8418C">
      <w:pPr>
        <w:pStyle w:val="Default"/>
        <w:rPr>
          <w:b/>
          <w:bCs/>
          <w:szCs w:val="22"/>
        </w:rPr>
      </w:pPr>
    </w:p>
    <w:p w14:paraId="5AC0FC75" w14:textId="77777777" w:rsidR="000D66A6" w:rsidRPr="000D66A6" w:rsidRDefault="000D66A6" w:rsidP="000D66A6">
      <w:pPr>
        <w:shd w:val="clear" w:color="auto" w:fill="E5DFEC" w:themeFill="accent4" w:themeFillTint="33"/>
        <w:spacing w:line="240" w:lineRule="auto"/>
        <w:rPr>
          <w:rFonts w:ascii="Times New Roman" w:hAnsi="Times New Roman" w:cs="Times New Roman"/>
          <w:b/>
          <w:bCs/>
        </w:rPr>
      </w:pPr>
      <w:r w:rsidRPr="000D66A6">
        <w:rPr>
          <w:rFonts w:ascii="Times New Roman" w:hAnsi="Times New Roman" w:cs="Times New Roman"/>
          <w:b/>
          <w:bCs/>
        </w:rPr>
        <w:t xml:space="preserve">MANAGEMENT AND CAPACITY BUILDING </w:t>
      </w:r>
    </w:p>
    <w:p w14:paraId="38A1F3F7" w14:textId="77777777" w:rsidR="000D66A6" w:rsidRDefault="000D66A6" w:rsidP="000D66A6">
      <w:pPr>
        <w:pStyle w:val="Default"/>
        <w:rPr>
          <w:b/>
          <w:bCs/>
          <w:szCs w:val="22"/>
        </w:rPr>
      </w:pPr>
      <w:r w:rsidRPr="000D66A6">
        <w:rPr>
          <w:b/>
          <w:bCs/>
          <w:sz w:val="22"/>
          <w:szCs w:val="22"/>
        </w:rPr>
        <w:t>Management</w:t>
      </w:r>
      <w:r w:rsidRPr="000D66A6">
        <w:rPr>
          <w:b/>
          <w:bCs/>
          <w:sz w:val="22"/>
          <w:szCs w:val="22"/>
        </w:rPr>
        <w:tab/>
      </w:r>
      <w:r w:rsidRPr="000D66A6">
        <w:rPr>
          <w:b/>
          <w:bCs/>
          <w:szCs w:val="22"/>
        </w:rPr>
        <w:tab/>
      </w:r>
    </w:p>
    <w:p w14:paraId="7CF451CC" w14:textId="77777777" w:rsidR="00C244D2" w:rsidRDefault="00C244D2" w:rsidP="000D66A6">
      <w:pPr>
        <w:pStyle w:val="Default"/>
        <w:rPr>
          <w:lang w:val="en-NZ"/>
        </w:rPr>
      </w:pPr>
    </w:p>
    <w:p w14:paraId="38190DF1" w14:textId="01E12502" w:rsidR="000D66A6" w:rsidRPr="000F4FB9" w:rsidRDefault="00C244D2" w:rsidP="000D66A6">
      <w:pPr>
        <w:pStyle w:val="Default"/>
        <w:rPr>
          <w:lang w:val="en-NZ"/>
        </w:rPr>
      </w:pPr>
      <w:r>
        <w:rPr>
          <w:lang w:val="en-NZ"/>
        </w:rPr>
        <w:t>In June 2011</w:t>
      </w:r>
      <w:r w:rsidR="000D66A6" w:rsidRPr="000F4FB9">
        <w:rPr>
          <w:lang w:val="en-NZ"/>
        </w:rPr>
        <w:t xml:space="preserve"> Tokelau a</w:t>
      </w:r>
      <w:r>
        <w:rPr>
          <w:lang w:val="en-NZ"/>
        </w:rPr>
        <w:t xml:space="preserve">dopted a new Fisheries Policy.  Since then </w:t>
      </w:r>
      <w:r w:rsidR="000D66A6" w:rsidRPr="000F4FB9">
        <w:rPr>
          <w:lang w:val="en-NZ"/>
        </w:rPr>
        <w:t xml:space="preserve">Tokelau </w:t>
      </w:r>
      <w:r>
        <w:rPr>
          <w:lang w:val="en-NZ"/>
        </w:rPr>
        <w:t>had developed an</w:t>
      </w:r>
      <w:r w:rsidR="000D66A6" w:rsidRPr="000F4FB9">
        <w:rPr>
          <w:lang w:val="en-NZ"/>
        </w:rPr>
        <w:t xml:space="preserve"> Offshore Fisheries Management Plan</w:t>
      </w:r>
      <w:r>
        <w:rPr>
          <w:lang w:val="en-NZ"/>
        </w:rPr>
        <w:t xml:space="preserve"> </w:t>
      </w:r>
      <w:r w:rsidR="000D66A6" w:rsidRPr="000F4FB9">
        <w:rPr>
          <w:lang w:val="en-NZ"/>
        </w:rPr>
        <w:t xml:space="preserve"> </w:t>
      </w:r>
      <w:r>
        <w:rPr>
          <w:lang w:val="en-NZ"/>
        </w:rPr>
        <w:t xml:space="preserve">(to be endorsed in June 2013) </w:t>
      </w:r>
      <w:r w:rsidR="000D66A6" w:rsidRPr="000F4FB9">
        <w:rPr>
          <w:lang w:val="en-NZ"/>
        </w:rPr>
        <w:t xml:space="preserve">covering the tuna fisheries of the Exclusive Economic Zone, and </w:t>
      </w:r>
      <w:r w:rsidR="00945019">
        <w:rPr>
          <w:lang w:val="en-NZ"/>
        </w:rPr>
        <w:t xml:space="preserve">commenced the consultations </w:t>
      </w:r>
      <w:r w:rsidR="000D66A6" w:rsidRPr="000F4FB9">
        <w:rPr>
          <w:lang w:val="en-NZ"/>
        </w:rPr>
        <w:t>of management plans for the inshore fisheries (lagoons, reefs and coastal wa</w:t>
      </w:r>
      <w:r w:rsidR="00945019">
        <w:rPr>
          <w:lang w:val="en-NZ"/>
        </w:rPr>
        <w:t xml:space="preserve">ters of the Territorial Sea) for </w:t>
      </w:r>
      <w:r w:rsidR="000D66A6" w:rsidRPr="000F4FB9">
        <w:rPr>
          <w:lang w:val="en-NZ"/>
        </w:rPr>
        <w:t xml:space="preserve">each atoll. </w:t>
      </w:r>
    </w:p>
    <w:p w14:paraId="3438ADC5" w14:textId="77777777" w:rsidR="000D66A6" w:rsidRPr="000F4FB9" w:rsidRDefault="000D66A6" w:rsidP="000D66A6">
      <w:pPr>
        <w:pStyle w:val="Default"/>
        <w:rPr>
          <w:lang w:val="en-NZ"/>
        </w:rPr>
      </w:pPr>
    </w:p>
    <w:p w14:paraId="7D6F2286" w14:textId="77777777" w:rsidR="000D66A6" w:rsidRPr="000F4FB9" w:rsidRDefault="000D66A6" w:rsidP="000D66A6">
      <w:pPr>
        <w:pStyle w:val="Default"/>
        <w:rPr>
          <w:lang w:val="en-NZ"/>
        </w:rPr>
      </w:pPr>
      <w:r w:rsidRPr="000F4FB9">
        <w:rPr>
          <w:lang w:val="en-NZ"/>
        </w:rPr>
        <w:t xml:space="preserve">For the offshore fisheries Tokelau has set the following zone-based limits:  </w:t>
      </w:r>
    </w:p>
    <w:p w14:paraId="2B8C6538" w14:textId="77777777" w:rsidR="000F4FB9" w:rsidRPr="000D66A6" w:rsidRDefault="000F4FB9" w:rsidP="000D66A6">
      <w:pPr>
        <w:pStyle w:val="Default"/>
        <w:rPr>
          <w:b/>
          <w:bCs/>
          <w:szCs w:val="22"/>
        </w:rPr>
      </w:pPr>
    </w:p>
    <w:tbl>
      <w:tblPr>
        <w:tblStyle w:val="TableGrid"/>
        <w:tblW w:w="0" w:type="auto"/>
        <w:tblLook w:val="04A0" w:firstRow="1" w:lastRow="0" w:firstColumn="1" w:lastColumn="0" w:noHBand="0" w:noVBand="1"/>
      </w:tblPr>
      <w:tblGrid>
        <w:gridCol w:w="3080"/>
        <w:gridCol w:w="3081"/>
        <w:gridCol w:w="3081"/>
      </w:tblGrid>
      <w:tr w:rsidR="000F4FB9" w14:paraId="5B63DD02" w14:textId="77777777" w:rsidTr="000F4FB9">
        <w:tc>
          <w:tcPr>
            <w:tcW w:w="3080" w:type="dxa"/>
          </w:tcPr>
          <w:p w14:paraId="4413D69B" w14:textId="77777777" w:rsidR="000F4FB9" w:rsidRPr="000F4FB9" w:rsidRDefault="000F4FB9" w:rsidP="000F4FB9">
            <w:pPr>
              <w:pStyle w:val="Default"/>
              <w:jc w:val="center"/>
              <w:rPr>
                <w:bCs/>
                <w:i/>
                <w:szCs w:val="22"/>
              </w:rPr>
            </w:pPr>
            <w:r w:rsidRPr="000F4FB9">
              <w:rPr>
                <w:bCs/>
                <w:i/>
                <w:szCs w:val="22"/>
              </w:rPr>
              <w:t>Fishery</w:t>
            </w:r>
          </w:p>
        </w:tc>
        <w:tc>
          <w:tcPr>
            <w:tcW w:w="3081" w:type="dxa"/>
          </w:tcPr>
          <w:p w14:paraId="481CDA2A" w14:textId="77777777" w:rsidR="000F4FB9" w:rsidRPr="000F4FB9" w:rsidRDefault="000F4FB9" w:rsidP="000F4FB9">
            <w:pPr>
              <w:pStyle w:val="Default"/>
              <w:jc w:val="center"/>
              <w:rPr>
                <w:bCs/>
                <w:i/>
                <w:szCs w:val="22"/>
              </w:rPr>
            </w:pPr>
            <w:r w:rsidRPr="000F4FB9">
              <w:rPr>
                <w:bCs/>
                <w:i/>
                <w:szCs w:val="22"/>
              </w:rPr>
              <w:t>Zone-based Limit</w:t>
            </w:r>
          </w:p>
        </w:tc>
        <w:tc>
          <w:tcPr>
            <w:tcW w:w="3081" w:type="dxa"/>
          </w:tcPr>
          <w:p w14:paraId="15EA5FA4" w14:textId="77777777" w:rsidR="000F4FB9" w:rsidRPr="000F4FB9" w:rsidRDefault="000F4FB9" w:rsidP="000F4FB9">
            <w:pPr>
              <w:pStyle w:val="Default"/>
              <w:jc w:val="center"/>
              <w:rPr>
                <w:bCs/>
                <w:i/>
                <w:szCs w:val="22"/>
              </w:rPr>
            </w:pPr>
            <w:r w:rsidRPr="000F4FB9">
              <w:rPr>
                <w:bCs/>
                <w:i/>
                <w:szCs w:val="22"/>
              </w:rPr>
              <w:t>Statu</w:t>
            </w:r>
            <w:r w:rsidR="00E04472">
              <w:rPr>
                <w:bCs/>
                <w:i/>
                <w:szCs w:val="22"/>
              </w:rPr>
              <w:t>s</w:t>
            </w:r>
          </w:p>
        </w:tc>
      </w:tr>
      <w:tr w:rsidR="000F4FB9" w14:paraId="08CCBE7D" w14:textId="77777777" w:rsidTr="000F4FB9">
        <w:tc>
          <w:tcPr>
            <w:tcW w:w="3080" w:type="dxa"/>
          </w:tcPr>
          <w:p w14:paraId="21228C0A" w14:textId="77777777" w:rsidR="000F4FB9" w:rsidRPr="000F4FB9" w:rsidRDefault="000F4FB9" w:rsidP="000D66A6">
            <w:pPr>
              <w:pStyle w:val="Default"/>
              <w:rPr>
                <w:bCs/>
                <w:szCs w:val="22"/>
              </w:rPr>
            </w:pPr>
            <w:r w:rsidRPr="000F4FB9">
              <w:rPr>
                <w:bCs/>
                <w:szCs w:val="22"/>
              </w:rPr>
              <w:t>Purse seine fishery</w:t>
            </w:r>
          </w:p>
        </w:tc>
        <w:tc>
          <w:tcPr>
            <w:tcW w:w="3081" w:type="dxa"/>
          </w:tcPr>
          <w:p w14:paraId="45632E34" w14:textId="77777777" w:rsidR="000F4FB9" w:rsidRPr="000F4FB9" w:rsidRDefault="000F4FB9" w:rsidP="000D66A6">
            <w:pPr>
              <w:pStyle w:val="Default"/>
              <w:rPr>
                <w:bCs/>
                <w:szCs w:val="22"/>
              </w:rPr>
            </w:pPr>
            <w:r w:rsidRPr="000F4FB9">
              <w:rPr>
                <w:bCs/>
                <w:szCs w:val="22"/>
              </w:rPr>
              <w:t>1000 vessel days</w:t>
            </w:r>
          </w:p>
        </w:tc>
        <w:tc>
          <w:tcPr>
            <w:tcW w:w="3081" w:type="dxa"/>
          </w:tcPr>
          <w:p w14:paraId="08F0612D" w14:textId="77777777" w:rsidR="000F4FB9" w:rsidRPr="000F4FB9" w:rsidRDefault="000F4FB9" w:rsidP="000D66A6">
            <w:pPr>
              <w:pStyle w:val="Default"/>
              <w:rPr>
                <w:bCs/>
                <w:szCs w:val="22"/>
              </w:rPr>
            </w:pPr>
            <w:r w:rsidRPr="000F4FB9">
              <w:rPr>
                <w:bCs/>
                <w:szCs w:val="22"/>
              </w:rPr>
              <w:t>WCPFC formally notified</w:t>
            </w:r>
          </w:p>
        </w:tc>
      </w:tr>
      <w:tr w:rsidR="000F4FB9" w14:paraId="1EF5C228" w14:textId="77777777" w:rsidTr="000F4FB9">
        <w:tc>
          <w:tcPr>
            <w:tcW w:w="3080" w:type="dxa"/>
          </w:tcPr>
          <w:p w14:paraId="31B46B4C" w14:textId="77777777" w:rsidR="000F4FB9" w:rsidRPr="000F4FB9" w:rsidRDefault="000F4FB9" w:rsidP="000F4FB9">
            <w:pPr>
              <w:pStyle w:val="Default"/>
              <w:rPr>
                <w:bCs/>
                <w:szCs w:val="22"/>
              </w:rPr>
            </w:pPr>
            <w:r>
              <w:rPr>
                <w:bCs/>
                <w:szCs w:val="22"/>
              </w:rPr>
              <w:t>Albacore longline fishery</w:t>
            </w:r>
          </w:p>
        </w:tc>
        <w:tc>
          <w:tcPr>
            <w:tcW w:w="3081" w:type="dxa"/>
          </w:tcPr>
          <w:p w14:paraId="71850AB0" w14:textId="7EE5A858" w:rsidR="000F4FB9" w:rsidRPr="000F4FB9" w:rsidRDefault="0092562E" w:rsidP="000D66A6">
            <w:pPr>
              <w:pStyle w:val="Default"/>
              <w:rPr>
                <w:bCs/>
                <w:szCs w:val="22"/>
              </w:rPr>
            </w:pPr>
            <w:r>
              <w:rPr>
                <w:bCs/>
                <w:szCs w:val="22"/>
              </w:rPr>
              <w:t>2500 tonnes</w:t>
            </w:r>
          </w:p>
        </w:tc>
        <w:tc>
          <w:tcPr>
            <w:tcW w:w="3081" w:type="dxa"/>
          </w:tcPr>
          <w:p w14:paraId="17F7F81A" w14:textId="77777777" w:rsidR="000F4FB9" w:rsidRPr="000F4FB9" w:rsidRDefault="000F4FB9" w:rsidP="000D66A6">
            <w:pPr>
              <w:pStyle w:val="Default"/>
              <w:rPr>
                <w:bCs/>
                <w:szCs w:val="22"/>
              </w:rPr>
            </w:pPr>
            <w:r>
              <w:rPr>
                <w:bCs/>
                <w:szCs w:val="22"/>
              </w:rPr>
              <w:t>Interim limit</w:t>
            </w:r>
          </w:p>
        </w:tc>
      </w:tr>
      <w:tr w:rsidR="000F4FB9" w14:paraId="691A323D" w14:textId="77777777" w:rsidTr="000F4FB9">
        <w:tc>
          <w:tcPr>
            <w:tcW w:w="3080" w:type="dxa"/>
          </w:tcPr>
          <w:p w14:paraId="552641A9" w14:textId="77777777" w:rsidR="000F4FB9" w:rsidRPr="000F4FB9" w:rsidRDefault="000F4FB9" w:rsidP="000D66A6">
            <w:pPr>
              <w:pStyle w:val="Default"/>
              <w:rPr>
                <w:bCs/>
                <w:szCs w:val="22"/>
              </w:rPr>
            </w:pPr>
            <w:r>
              <w:rPr>
                <w:bCs/>
                <w:szCs w:val="22"/>
              </w:rPr>
              <w:t>Tropical longline - Yellowfin</w:t>
            </w:r>
          </w:p>
        </w:tc>
        <w:tc>
          <w:tcPr>
            <w:tcW w:w="3081" w:type="dxa"/>
          </w:tcPr>
          <w:p w14:paraId="37B1D506" w14:textId="4B782D02" w:rsidR="000F4FB9" w:rsidRPr="000F4FB9" w:rsidRDefault="000F4FB9" w:rsidP="000D66A6">
            <w:pPr>
              <w:pStyle w:val="Default"/>
              <w:rPr>
                <w:bCs/>
                <w:szCs w:val="22"/>
              </w:rPr>
            </w:pPr>
            <w:r>
              <w:rPr>
                <w:bCs/>
                <w:szCs w:val="22"/>
              </w:rPr>
              <w:t>4000</w:t>
            </w:r>
            <w:r w:rsidR="0092562E">
              <w:rPr>
                <w:bCs/>
                <w:szCs w:val="22"/>
              </w:rPr>
              <w:t xml:space="preserve"> tonnes</w:t>
            </w:r>
          </w:p>
        </w:tc>
        <w:tc>
          <w:tcPr>
            <w:tcW w:w="3081" w:type="dxa"/>
          </w:tcPr>
          <w:p w14:paraId="3C461ED9" w14:textId="77777777" w:rsidR="000F4FB9" w:rsidRPr="000F4FB9" w:rsidRDefault="000F4FB9" w:rsidP="000D66A6">
            <w:pPr>
              <w:pStyle w:val="Default"/>
              <w:rPr>
                <w:bCs/>
                <w:szCs w:val="22"/>
              </w:rPr>
            </w:pPr>
            <w:r>
              <w:rPr>
                <w:bCs/>
                <w:szCs w:val="22"/>
              </w:rPr>
              <w:t>Interim limit</w:t>
            </w:r>
          </w:p>
        </w:tc>
      </w:tr>
      <w:tr w:rsidR="000F4FB9" w14:paraId="2D589E59" w14:textId="77777777" w:rsidTr="000F4FB9">
        <w:tc>
          <w:tcPr>
            <w:tcW w:w="3080" w:type="dxa"/>
          </w:tcPr>
          <w:p w14:paraId="2D062BF9" w14:textId="77777777" w:rsidR="000F4FB9" w:rsidRPr="000F4FB9" w:rsidRDefault="000F4FB9" w:rsidP="000D66A6">
            <w:pPr>
              <w:pStyle w:val="Default"/>
              <w:rPr>
                <w:bCs/>
                <w:szCs w:val="22"/>
              </w:rPr>
            </w:pPr>
            <w:r>
              <w:rPr>
                <w:bCs/>
                <w:szCs w:val="22"/>
              </w:rPr>
              <w:t>Tropical longline - Bigeye</w:t>
            </w:r>
          </w:p>
        </w:tc>
        <w:tc>
          <w:tcPr>
            <w:tcW w:w="3081" w:type="dxa"/>
          </w:tcPr>
          <w:p w14:paraId="60D1B2D1" w14:textId="77777777" w:rsidR="000F4FB9" w:rsidRPr="000F4FB9" w:rsidRDefault="000F4FB9" w:rsidP="000D66A6">
            <w:pPr>
              <w:pStyle w:val="Default"/>
              <w:rPr>
                <w:bCs/>
                <w:szCs w:val="22"/>
              </w:rPr>
            </w:pPr>
            <w:r>
              <w:rPr>
                <w:bCs/>
                <w:szCs w:val="22"/>
              </w:rPr>
              <w:t>2000 tonnes</w:t>
            </w:r>
          </w:p>
        </w:tc>
        <w:tc>
          <w:tcPr>
            <w:tcW w:w="3081" w:type="dxa"/>
          </w:tcPr>
          <w:p w14:paraId="67C5E114" w14:textId="77777777" w:rsidR="000F4FB9" w:rsidRPr="000F4FB9" w:rsidRDefault="000F4FB9" w:rsidP="000D66A6">
            <w:pPr>
              <w:pStyle w:val="Default"/>
              <w:rPr>
                <w:bCs/>
                <w:szCs w:val="22"/>
              </w:rPr>
            </w:pPr>
            <w:r>
              <w:rPr>
                <w:bCs/>
                <w:szCs w:val="22"/>
              </w:rPr>
              <w:t>Interim limit</w:t>
            </w:r>
          </w:p>
        </w:tc>
      </w:tr>
    </w:tbl>
    <w:p w14:paraId="3BBF8D41" w14:textId="77777777" w:rsidR="000D66A6" w:rsidRPr="000D66A6" w:rsidRDefault="000D66A6" w:rsidP="000D66A6">
      <w:pPr>
        <w:pStyle w:val="Default"/>
        <w:rPr>
          <w:b/>
          <w:bCs/>
          <w:szCs w:val="22"/>
        </w:rPr>
      </w:pPr>
    </w:p>
    <w:p w14:paraId="3E9AD70C" w14:textId="77777777" w:rsidR="000D66A6" w:rsidRPr="000F4FB9" w:rsidRDefault="000D66A6" w:rsidP="000D66A6">
      <w:pPr>
        <w:pStyle w:val="Default"/>
        <w:rPr>
          <w:bCs/>
          <w:lang w:val="en-NZ"/>
        </w:rPr>
      </w:pPr>
      <w:r w:rsidRPr="000F4FB9">
        <w:rPr>
          <w:bCs/>
          <w:lang w:val="en-NZ"/>
        </w:rPr>
        <w:t>To implement the purse seine limits Tokelau has become a Participant to the Palau Arrangement and joined the PNA’s Vessel Day Scheme (VDS).  In the US Tuna Treaty renewal negotiations Tokelau is now in the ‘PNA plus Tokelau’ pool.  Tokelau is currently implementing and testing the VDS systems to ensure these are ready to manage the purse seine fisheries as of 1 January 2013.  Pending full implementation of the VDS Tokelau has set</w:t>
      </w:r>
      <w:r w:rsidRPr="000D66A6">
        <w:rPr>
          <w:b/>
          <w:bCs/>
          <w:lang w:val="en-NZ"/>
        </w:rPr>
        <w:t xml:space="preserve"> </w:t>
      </w:r>
      <w:r w:rsidRPr="000F4FB9">
        <w:rPr>
          <w:bCs/>
          <w:lang w:val="en-NZ"/>
        </w:rPr>
        <w:t xml:space="preserve">a limit of 20 purse seine licenses (excluding vessels licensed under the US Tuna Treaty).  </w:t>
      </w:r>
    </w:p>
    <w:p w14:paraId="5538B86E" w14:textId="77777777" w:rsidR="000D66A6" w:rsidRPr="000F4FB9" w:rsidRDefault="000D66A6" w:rsidP="000D66A6">
      <w:pPr>
        <w:pStyle w:val="Default"/>
        <w:rPr>
          <w:bCs/>
          <w:szCs w:val="22"/>
        </w:rPr>
      </w:pPr>
    </w:p>
    <w:p w14:paraId="7C084254" w14:textId="77777777" w:rsidR="000D66A6" w:rsidRPr="000F4FB9" w:rsidRDefault="000D66A6" w:rsidP="000D66A6">
      <w:pPr>
        <w:pStyle w:val="Default"/>
        <w:rPr>
          <w:lang w:val="en-NZ"/>
        </w:rPr>
      </w:pPr>
      <w:r w:rsidRPr="000F4FB9">
        <w:rPr>
          <w:bCs/>
          <w:lang w:val="en-NZ"/>
        </w:rPr>
        <w:t>In the longline fisheries the interim zone limits are backed up by limits on the number of vessels to be licensed each year (up to 12 vessels in the albacore fishery and up to 8 vessels in the tropical longline fishery).  Tokelau will work with coastal states with an</w:t>
      </w:r>
      <w:r w:rsidRPr="000D66A6">
        <w:rPr>
          <w:b/>
          <w:bCs/>
          <w:lang w:val="en-NZ"/>
        </w:rPr>
        <w:t xml:space="preserve"> </w:t>
      </w:r>
      <w:r w:rsidRPr="000F4FB9">
        <w:rPr>
          <w:lang w:val="en-NZ"/>
        </w:rPr>
        <w:t xml:space="preserve">interest in the longline fisheries prior to formally notifying the country limits to the Commission. </w:t>
      </w:r>
    </w:p>
    <w:p w14:paraId="63E57FB5" w14:textId="77777777" w:rsidR="000D66A6" w:rsidRPr="000F4FB9" w:rsidRDefault="000D66A6" w:rsidP="000D66A6">
      <w:pPr>
        <w:pStyle w:val="Default"/>
        <w:rPr>
          <w:lang w:val="en-NZ"/>
        </w:rPr>
      </w:pPr>
    </w:p>
    <w:p w14:paraId="766131DF" w14:textId="77777777" w:rsidR="000D66A6" w:rsidRPr="000F4FB9" w:rsidRDefault="000D66A6" w:rsidP="000D66A6">
      <w:pPr>
        <w:pStyle w:val="Default"/>
        <w:rPr>
          <w:lang w:val="en-NZ"/>
        </w:rPr>
      </w:pPr>
      <w:r w:rsidRPr="000F4FB9">
        <w:rPr>
          <w:lang w:val="en-NZ"/>
        </w:rPr>
        <w:t xml:space="preserve">Tokelau has also revised its licensing conditions to meet Tokelau’s obligations under CMM 2008-01 and to be consistent with the standardised format recommended by FFA.  </w:t>
      </w:r>
    </w:p>
    <w:p w14:paraId="09C3202A" w14:textId="77777777" w:rsidR="000D66A6" w:rsidRPr="000F4FB9" w:rsidRDefault="000D66A6" w:rsidP="000D66A6">
      <w:pPr>
        <w:pStyle w:val="Default"/>
        <w:rPr>
          <w:lang w:val="en-NZ"/>
        </w:rPr>
      </w:pPr>
      <w:r w:rsidRPr="000F4FB9">
        <w:rPr>
          <w:lang w:val="en-NZ"/>
        </w:rPr>
        <w:lastRenderedPageBreak/>
        <w:t xml:space="preserve">The Tokelau EEZ Fishing Regulations are under review to ensure that they will support the Tokelau Fisheries Policy and Offshore Fisheries Management Plan. </w:t>
      </w:r>
    </w:p>
    <w:p w14:paraId="1DB5B151" w14:textId="77777777" w:rsidR="000D66A6" w:rsidRPr="000F4FB9" w:rsidRDefault="000D66A6" w:rsidP="000D66A6">
      <w:pPr>
        <w:pStyle w:val="Default"/>
        <w:rPr>
          <w:lang w:val="en-NZ"/>
        </w:rPr>
      </w:pPr>
    </w:p>
    <w:p w14:paraId="2E198F5E" w14:textId="77777777" w:rsidR="00E04472" w:rsidRDefault="00E04472" w:rsidP="000D66A6">
      <w:pPr>
        <w:pStyle w:val="Default"/>
        <w:rPr>
          <w:lang w:val="en-NZ"/>
        </w:rPr>
      </w:pPr>
      <w:r w:rsidRPr="00E04472">
        <w:rPr>
          <w:b/>
          <w:bCs/>
          <w:sz w:val="22"/>
          <w:szCs w:val="22"/>
        </w:rPr>
        <w:t xml:space="preserve">Capacity </w:t>
      </w:r>
      <w:r w:rsidR="000D66A6" w:rsidRPr="00E04472">
        <w:rPr>
          <w:b/>
          <w:bCs/>
          <w:sz w:val="22"/>
          <w:szCs w:val="22"/>
        </w:rPr>
        <w:t>Building</w:t>
      </w:r>
      <w:r w:rsidR="000D66A6" w:rsidRPr="000F4FB9">
        <w:rPr>
          <w:lang w:val="en-NZ"/>
        </w:rPr>
        <w:tab/>
      </w:r>
    </w:p>
    <w:p w14:paraId="259DE78F" w14:textId="7E46BCDF" w:rsidR="000D66A6" w:rsidRDefault="000D66A6" w:rsidP="000D66A6">
      <w:pPr>
        <w:pStyle w:val="Default"/>
        <w:rPr>
          <w:lang w:val="en-NZ"/>
        </w:rPr>
      </w:pPr>
      <w:r w:rsidRPr="000F4FB9">
        <w:rPr>
          <w:lang w:val="en-NZ"/>
        </w:rPr>
        <w:t>Following on from adopting the new Tokelau Fisheries Policy, there is now a strong focus on capacity-building for the Tokelau Fisheries divi</w:t>
      </w:r>
      <w:r w:rsidR="00EB018C">
        <w:rPr>
          <w:lang w:val="en-NZ"/>
        </w:rPr>
        <w:t xml:space="preserve">sion. </w:t>
      </w:r>
    </w:p>
    <w:p w14:paraId="56970984" w14:textId="77777777" w:rsidR="00EB018C" w:rsidRDefault="00EB018C" w:rsidP="000D66A6">
      <w:pPr>
        <w:pStyle w:val="Default"/>
        <w:rPr>
          <w:lang w:val="en-NZ"/>
        </w:rPr>
      </w:pPr>
    </w:p>
    <w:p w14:paraId="01F8F900" w14:textId="5D5EEB03" w:rsidR="00EB018C" w:rsidRPr="000F4FB9" w:rsidRDefault="00EB018C" w:rsidP="000D66A6">
      <w:pPr>
        <w:pStyle w:val="Default"/>
        <w:rPr>
          <w:lang w:val="en-NZ"/>
        </w:rPr>
      </w:pPr>
      <w:r>
        <w:rPr>
          <w:lang w:val="en-NZ"/>
        </w:rPr>
        <w:t>Since 2012 fisheries personnel has spent 115 days in total in training on fisheries management related issues. Tokelau</w:t>
      </w:r>
      <w:r w:rsidR="00392CCF">
        <w:rPr>
          <w:lang w:val="en-NZ"/>
        </w:rPr>
        <w:t xml:space="preserve"> is committed in ensuring capacity building for fisheries personnel. </w:t>
      </w:r>
    </w:p>
    <w:p w14:paraId="35C92DB2" w14:textId="77777777" w:rsidR="000D66A6" w:rsidRPr="000D66A6" w:rsidRDefault="000D66A6" w:rsidP="000D66A6">
      <w:pPr>
        <w:pStyle w:val="Default"/>
        <w:rPr>
          <w:b/>
          <w:bCs/>
          <w:szCs w:val="22"/>
        </w:rPr>
      </w:pPr>
    </w:p>
    <w:p w14:paraId="688CED85" w14:textId="4C365A0E" w:rsidR="00E27618" w:rsidRPr="000F4FB9" w:rsidRDefault="00E27618" w:rsidP="00EB018C">
      <w:pPr>
        <w:pStyle w:val="Default"/>
        <w:rPr>
          <w:lang w:val="en-NZ"/>
        </w:rPr>
      </w:pPr>
    </w:p>
    <w:p w14:paraId="018104AD" w14:textId="77777777" w:rsidR="000D66A6" w:rsidRDefault="000D66A6" w:rsidP="00C8418C">
      <w:pPr>
        <w:pStyle w:val="Default"/>
        <w:rPr>
          <w:b/>
          <w:bCs/>
          <w:szCs w:val="22"/>
        </w:rPr>
      </w:pPr>
    </w:p>
    <w:p w14:paraId="4D9D0FE7" w14:textId="77777777" w:rsidR="000D66A6" w:rsidRDefault="000D66A6" w:rsidP="00C8418C">
      <w:pPr>
        <w:pStyle w:val="Default"/>
        <w:rPr>
          <w:b/>
          <w:bCs/>
          <w:szCs w:val="22"/>
        </w:rPr>
      </w:pPr>
    </w:p>
    <w:p w14:paraId="1D77ED75" w14:textId="77777777" w:rsidR="000D66A6" w:rsidRDefault="000D66A6" w:rsidP="00C8418C">
      <w:pPr>
        <w:pStyle w:val="Default"/>
        <w:rPr>
          <w:b/>
          <w:bCs/>
          <w:szCs w:val="22"/>
        </w:rPr>
      </w:pPr>
    </w:p>
    <w:p w14:paraId="1CDD6CF6" w14:textId="77777777" w:rsidR="000D66A6" w:rsidRDefault="000D66A6" w:rsidP="00C8418C">
      <w:pPr>
        <w:pStyle w:val="Default"/>
        <w:rPr>
          <w:b/>
          <w:bCs/>
          <w:szCs w:val="22"/>
        </w:rPr>
      </w:pPr>
    </w:p>
    <w:p w14:paraId="75A9C978" w14:textId="77777777" w:rsidR="000D66A6" w:rsidRDefault="000D66A6" w:rsidP="00C8418C">
      <w:pPr>
        <w:pStyle w:val="Default"/>
        <w:rPr>
          <w:b/>
          <w:bCs/>
          <w:szCs w:val="22"/>
        </w:rPr>
      </w:pPr>
    </w:p>
    <w:p w14:paraId="0DA2F1F7" w14:textId="77777777" w:rsidR="000D66A6" w:rsidRDefault="000D66A6" w:rsidP="00C8418C">
      <w:pPr>
        <w:pStyle w:val="Default"/>
        <w:rPr>
          <w:b/>
          <w:bCs/>
          <w:szCs w:val="22"/>
        </w:rPr>
      </w:pPr>
    </w:p>
    <w:p w14:paraId="3F293D77" w14:textId="77777777" w:rsidR="000D66A6" w:rsidRDefault="000D66A6" w:rsidP="00C8418C">
      <w:pPr>
        <w:pStyle w:val="Default"/>
        <w:rPr>
          <w:b/>
          <w:bCs/>
          <w:szCs w:val="22"/>
        </w:rPr>
      </w:pPr>
    </w:p>
    <w:p w14:paraId="2C27C291" w14:textId="77777777" w:rsidR="000D66A6" w:rsidRDefault="000D66A6" w:rsidP="00C8418C">
      <w:pPr>
        <w:pStyle w:val="Default"/>
        <w:rPr>
          <w:b/>
          <w:bCs/>
          <w:szCs w:val="22"/>
        </w:rPr>
      </w:pPr>
    </w:p>
    <w:p w14:paraId="0C600155" w14:textId="77777777" w:rsidR="000D66A6" w:rsidRDefault="000D66A6" w:rsidP="00C8418C">
      <w:pPr>
        <w:pStyle w:val="Default"/>
        <w:rPr>
          <w:b/>
          <w:bCs/>
          <w:szCs w:val="22"/>
        </w:rPr>
      </w:pPr>
    </w:p>
    <w:p w14:paraId="5A1FC663" w14:textId="77777777" w:rsidR="000D66A6" w:rsidRDefault="000D66A6" w:rsidP="00C8418C">
      <w:pPr>
        <w:pStyle w:val="Default"/>
        <w:rPr>
          <w:b/>
          <w:bCs/>
          <w:szCs w:val="22"/>
        </w:rPr>
      </w:pPr>
    </w:p>
    <w:p w14:paraId="100A99C3" w14:textId="77777777" w:rsidR="000D66A6" w:rsidRDefault="000D66A6" w:rsidP="00C8418C">
      <w:pPr>
        <w:pStyle w:val="Default"/>
        <w:rPr>
          <w:b/>
          <w:bCs/>
          <w:szCs w:val="22"/>
        </w:rPr>
      </w:pPr>
    </w:p>
    <w:p w14:paraId="01B9807F" w14:textId="77777777" w:rsidR="000D66A6" w:rsidRDefault="000D66A6" w:rsidP="00C8418C">
      <w:pPr>
        <w:pStyle w:val="Default"/>
        <w:rPr>
          <w:b/>
          <w:bCs/>
          <w:szCs w:val="22"/>
        </w:rPr>
      </w:pPr>
    </w:p>
    <w:p w14:paraId="44833385" w14:textId="77777777" w:rsidR="000D66A6" w:rsidRDefault="000D66A6" w:rsidP="00C8418C">
      <w:pPr>
        <w:pStyle w:val="Default"/>
        <w:rPr>
          <w:b/>
          <w:bCs/>
          <w:szCs w:val="22"/>
        </w:rPr>
      </w:pPr>
    </w:p>
    <w:p w14:paraId="785C55AC" w14:textId="77777777" w:rsidR="000D66A6" w:rsidRDefault="000D66A6" w:rsidP="00C8418C">
      <w:pPr>
        <w:pStyle w:val="Default"/>
        <w:rPr>
          <w:b/>
          <w:bCs/>
          <w:szCs w:val="22"/>
        </w:rPr>
      </w:pPr>
    </w:p>
    <w:p w14:paraId="094FAEF5" w14:textId="77777777" w:rsidR="000D66A6" w:rsidRDefault="000D66A6" w:rsidP="00C8418C">
      <w:pPr>
        <w:pStyle w:val="Default"/>
        <w:rPr>
          <w:b/>
          <w:bCs/>
          <w:szCs w:val="22"/>
        </w:rPr>
      </w:pPr>
    </w:p>
    <w:p w14:paraId="50F7B010" w14:textId="77777777" w:rsidR="000D66A6" w:rsidRDefault="000D66A6" w:rsidP="00C8418C">
      <w:pPr>
        <w:pStyle w:val="Default"/>
        <w:rPr>
          <w:b/>
          <w:bCs/>
          <w:szCs w:val="22"/>
        </w:rPr>
      </w:pPr>
    </w:p>
    <w:p w14:paraId="492A4575" w14:textId="77777777" w:rsidR="000D66A6" w:rsidRDefault="000D66A6" w:rsidP="00C8418C">
      <w:pPr>
        <w:pStyle w:val="Default"/>
        <w:rPr>
          <w:b/>
          <w:bCs/>
          <w:szCs w:val="22"/>
        </w:rPr>
      </w:pPr>
    </w:p>
    <w:p w14:paraId="75B765B4" w14:textId="77777777" w:rsidR="000D66A6" w:rsidRDefault="000D66A6" w:rsidP="00C8418C">
      <w:pPr>
        <w:pStyle w:val="Default"/>
        <w:rPr>
          <w:b/>
          <w:bCs/>
          <w:szCs w:val="22"/>
        </w:rPr>
      </w:pPr>
    </w:p>
    <w:p w14:paraId="17C5A02E" w14:textId="77777777" w:rsidR="000D66A6" w:rsidRDefault="000D66A6" w:rsidP="00C8418C">
      <w:pPr>
        <w:pStyle w:val="Default"/>
        <w:rPr>
          <w:b/>
          <w:bCs/>
          <w:szCs w:val="22"/>
        </w:rPr>
      </w:pPr>
    </w:p>
    <w:p w14:paraId="139ECCDF" w14:textId="77777777" w:rsidR="000D66A6" w:rsidRDefault="000D66A6" w:rsidP="00C8418C">
      <w:pPr>
        <w:pStyle w:val="Default"/>
        <w:rPr>
          <w:b/>
          <w:bCs/>
          <w:szCs w:val="22"/>
        </w:rPr>
      </w:pPr>
    </w:p>
    <w:p w14:paraId="4E26376A" w14:textId="77777777" w:rsidR="000D66A6" w:rsidRDefault="000D66A6" w:rsidP="00C8418C">
      <w:pPr>
        <w:pStyle w:val="Default"/>
        <w:rPr>
          <w:b/>
          <w:bCs/>
          <w:szCs w:val="22"/>
        </w:rPr>
      </w:pPr>
    </w:p>
    <w:p w14:paraId="2B28C463" w14:textId="77777777" w:rsidR="000D66A6" w:rsidRDefault="000D66A6" w:rsidP="00C8418C">
      <w:pPr>
        <w:pStyle w:val="Default"/>
        <w:rPr>
          <w:b/>
          <w:bCs/>
          <w:szCs w:val="22"/>
        </w:rPr>
      </w:pPr>
    </w:p>
    <w:p w14:paraId="5602CC80" w14:textId="77777777" w:rsidR="000D66A6" w:rsidRDefault="000D66A6" w:rsidP="00C8418C">
      <w:pPr>
        <w:pStyle w:val="Default"/>
        <w:rPr>
          <w:b/>
          <w:bCs/>
          <w:szCs w:val="22"/>
        </w:rPr>
      </w:pPr>
    </w:p>
    <w:p w14:paraId="446C2FBA" w14:textId="77777777" w:rsidR="000D66A6" w:rsidRDefault="000D66A6" w:rsidP="00C8418C">
      <w:pPr>
        <w:pStyle w:val="Default"/>
        <w:rPr>
          <w:b/>
          <w:bCs/>
          <w:szCs w:val="22"/>
        </w:rPr>
      </w:pPr>
    </w:p>
    <w:p w14:paraId="056FDBA0" w14:textId="77777777" w:rsidR="000D66A6" w:rsidRDefault="000D66A6" w:rsidP="00C8418C">
      <w:pPr>
        <w:pStyle w:val="Default"/>
        <w:rPr>
          <w:b/>
          <w:bCs/>
          <w:szCs w:val="22"/>
        </w:rPr>
      </w:pPr>
    </w:p>
    <w:p w14:paraId="2F492F91" w14:textId="77777777" w:rsidR="00E27618" w:rsidRDefault="00E27618" w:rsidP="00C8418C">
      <w:pPr>
        <w:pStyle w:val="Default"/>
        <w:rPr>
          <w:b/>
          <w:bCs/>
          <w:szCs w:val="22"/>
        </w:rPr>
      </w:pPr>
    </w:p>
    <w:p w14:paraId="25B2881F" w14:textId="77777777" w:rsidR="00E27618" w:rsidRDefault="00E27618" w:rsidP="00C8418C">
      <w:pPr>
        <w:pStyle w:val="Default"/>
        <w:rPr>
          <w:b/>
          <w:bCs/>
          <w:szCs w:val="22"/>
        </w:rPr>
      </w:pPr>
    </w:p>
    <w:p w14:paraId="4D1CDAD0" w14:textId="77777777" w:rsidR="00E27618" w:rsidRDefault="00E27618" w:rsidP="00C8418C">
      <w:pPr>
        <w:pStyle w:val="Default"/>
        <w:rPr>
          <w:b/>
          <w:bCs/>
          <w:szCs w:val="22"/>
        </w:rPr>
      </w:pPr>
    </w:p>
    <w:p w14:paraId="67033753" w14:textId="77777777" w:rsidR="00E27618" w:rsidRDefault="00E27618" w:rsidP="00C8418C">
      <w:pPr>
        <w:pStyle w:val="Default"/>
        <w:rPr>
          <w:b/>
          <w:bCs/>
          <w:szCs w:val="22"/>
        </w:rPr>
      </w:pPr>
    </w:p>
    <w:p w14:paraId="016E5C39" w14:textId="77777777" w:rsidR="00E27618" w:rsidRDefault="00E27618" w:rsidP="00C8418C">
      <w:pPr>
        <w:pStyle w:val="Default"/>
        <w:rPr>
          <w:b/>
          <w:bCs/>
          <w:szCs w:val="22"/>
        </w:rPr>
      </w:pPr>
    </w:p>
    <w:p w14:paraId="01D4ADDC" w14:textId="77777777" w:rsidR="00E27618" w:rsidRDefault="00E27618" w:rsidP="00C8418C">
      <w:pPr>
        <w:pStyle w:val="Default"/>
        <w:rPr>
          <w:b/>
          <w:bCs/>
          <w:szCs w:val="22"/>
        </w:rPr>
      </w:pPr>
    </w:p>
    <w:p w14:paraId="571E7869" w14:textId="77777777" w:rsidR="000D66A6" w:rsidRDefault="000D66A6" w:rsidP="00C8418C">
      <w:pPr>
        <w:pStyle w:val="Default"/>
        <w:rPr>
          <w:b/>
          <w:bCs/>
          <w:szCs w:val="22"/>
        </w:rPr>
      </w:pPr>
    </w:p>
    <w:p w14:paraId="46FE2EEB" w14:textId="77777777" w:rsidR="000D66A6" w:rsidRDefault="000D66A6" w:rsidP="00C8418C">
      <w:pPr>
        <w:pStyle w:val="Default"/>
        <w:rPr>
          <w:b/>
          <w:bCs/>
          <w:szCs w:val="22"/>
        </w:rPr>
      </w:pPr>
    </w:p>
    <w:p w14:paraId="205AC5A4" w14:textId="77777777" w:rsidR="000D66A6" w:rsidRDefault="000D66A6" w:rsidP="00C8418C">
      <w:pPr>
        <w:pStyle w:val="Default"/>
        <w:rPr>
          <w:b/>
          <w:bCs/>
          <w:szCs w:val="22"/>
        </w:rPr>
      </w:pPr>
    </w:p>
    <w:p w14:paraId="555CD701" w14:textId="77777777" w:rsidR="000D66A6" w:rsidRDefault="000D66A6" w:rsidP="00C8418C">
      <w:pPr>
        <w:pStyle w:val="Default"/>
        <w:rPr>
          <w:b/>
          <w:bCs/>
          <w:szCs w:val="22"/>
        </w:rPr>
      </w:pPr>
    </w:p>
    <w:p w14:paraId="65B12491" w14:textId="77777777" w:rsidR="000D66A6" w:rsidRDefault="000D66A6" w:rsidP="00C8418C">
      <w:pPr>
        <w:pStyle w:val="Default"/>
        <w:rPr>
          <w:b/>
          <w:bCs/>
          <w:szCs w:val="22"/>
        </w:rPr>
      </w:pPr>
    </w:p>
    <w:p w14:paraId="57D4BB65" w14:textId="77777777" w:rsidR="000D66A6" w:rsidRDefault="000D66A6" w:rsidP="00C8418C">
      <w:pPr>
        <w:pStyle w:val="Default"/>
        <w:rPr>
          <w:b/>
          <w:bCs/>
          <w:szCs w:val="22"/>
        </w:rPr>
      </w:pPr>
    </w:p>
    <w:p w14:paraId="1726010A" w14:textId="77777777" w:rsidR="000D66A6" w:rsidRDefault="000D66A6" w:rsidP="00C8418C">
      <w:pPr>
        <w:pStyle w:val="Default"/>
        <w:rPr>
          <w:b/>
          <w:bCs/>
          <w:szCs w:val="22"/>
        </w:rPr>
      </w:pPr>
      <w:bookmarkStart w:id="0" w:name="_GoBack"/>
      <w:bookmarkEnd w:id="0"/>
    </w:p>
    <w:sectPr w:rsidR="000D66A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9C1C8" w14:textId="77777777" w:rsidR="003B4B34" w:rsidRDefault="003B4B34" w:rsidP="009C09E6">
      <w:pPr>
        <w:spacing w:after="0" w:line="240" w:lineRule="auto"/>
      </w:pPr>
      <w:r>
        <w:separator/>
      </w:r>
    </w:p>
  </w:endnote>
  <w:endnote w:type="continuationSeparator" w:id="0">
    <w:p w14:paraId="4ECFB91C" w14:textId="77777777" w:rsidR="003B4B34" w:rsidRDefault="003B4B34" w:rsidP="009C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818506"/>
      <w:docPartObj>
        <w:docPartGallery w:val="Page Numbers (Bottom of Page)"/>
        <w:docPartUnique/>
      </w:docPartObj>
    </w:sdtPr>
    <w:sdtEndPr>
      <w:rPr>
        <w:noProof/>
      </w:rPr>
    </w:sdtEndPr>
    <w:sdtContent>
      <w:p w14:paraId="618AC1E6" w14:textId="77777777" w:rsidR="00F03AD7" w:rsidRDefault="00F03AD7">
        <w:pPr>
          <w:pStyle w:val="Footer"/>
          <w:jc w:val="right"/>
        </w:pPr>
        <w:r>
          <w:fldChar w:fldCharType="begin"/>
        </w:r>
        <w:r>
          <w:instrText xml:space="preserve"> PAGE   \* MERGEFORMAT </w:instrText>
        </w:r>
        <w:r>
          <w:fldChar w:fldCharType="separate"/>
        </w:r>
        <w:r w:rsidR="00C23964">
          <w:rPr>
            <w:noProof/>
          </w:rPr>
          <w:t>5</w:t>
        </w:r>
        <w:r>
          <w:rPr>
            <w:noProof/>
          </w:rPr>
          <w:fldChar w:fldCharType="end"/>
        </w:r>
      </w:p>
    </w:sdtContent>
  </w:sdt>
  <w:p w14:paraId="233D8792" w14:textId="77777777" w:rsidR="00F03AD7" w:rsidRDefault="00F03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F715F" w14:textId="77777777" w:rsidR="003B4B34" w:rsidRDefault="003B4B34" w:rsidP="009C09E6">
      <w:pPr>
        <w:spacing w:after="0" w:line="240" w:lineRule="auto"/>
      </w:pPr>
      <w:r>
        <w:separator/>
      </w:r>
    </w:p>
  </w:footnote>
  <w:footnote w:type="continuationSeparator" w:id="0">
    <w:p w14:paraId="31C281BF" w14:textId="77777777" w:rsidR="003B4B34" w:rsidRDefault="003B4B34" w:rsidP="009C0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C74B7"/>
    <w:multiLevelType w:val="hybridMultilevel"/>
    <w:tmpl w:val="F236BA54"/>
    <w:lvl w:ilvl="0" w:tplc="C0D8D95A">
      <w:start w:val="2000"/>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91D30BF"/>
    <w:multiLevelType w:val="hybridMultilevel"/>
    <w:tmpl w:val="BA3E83F0"/>
    <w:lvl w:ilvl="0" w:tplc="AA46ABD0">
      <w:start w:val="2000"/>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41842B33"/>
    <w:multiLevelType w:val="multilevel"/>
    <w:tmpl w:val="0E6451D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57B33DF1"/>
    <w:multiLevelType w:val="hybridMultilevel"/>
    <w:tmpl w:val="4926A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92C15EC"/>
    <w:multiLevelType w:val="hybridMultilevel"/>
    <w:tmpl w:val="5BC032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3A"/>
    <w:rsid w:val="00012CFD"/>
    <w:rsid w:val="00021650"/>
    <w:rsid w:val="00033A99"/>
    <w:rsid w:val="000349C0"/>
    <w:rsid w:val="00035F14"/>
    <w:rsid w:val="00036896"/>
    <w:rsid w:val="00040761"/>
    <w:rsid w:val="00041B1A"/>
    <w:rsid w:val="00044912"/>
    <w:rsid w:val="000515D4"/>
    <w:rsid w:val="0006401B"/>
    <w:rsid w:val="000646C4"/>
    <w:rsid w:val="000652FE"/>
    <w:rsid w:val="00066E25"/>
    <w:rsid w:val="000754A3"/>
    <w:rsid w:val="00075AD9"/>
    <w:rsid w:val="00075B4A"/>
    <w:rsid w:val="00082C8D"/>
    <w:rsid w:val="000878ED"/>
    <w:rsid w:val="00087A68"/>
    <w:rsid w:val="000933CF"/>
    <w:rsid w:val="00095AD3"/>
    <w:rsid w:val="000A5694"/>
    <w:rsid w:val="000B2AE2"/>
    <w:rsid w:val="000B307B"/>
    <w:rsid w:val="000B3755"/>
    <w:rsid w:val="000B797D"/>
    <w:rsid w:val="000D0A44"/>
    <w:rsid w:val="000D2D5A"/>
    <w:rsid w:val="000D3634"/>
    <w:rsid w:val="000D493B"/>
    <w:rsid w:val="000D5983"/>
    <w:rsid w:val="000D66A6"/>
    <w:rsid w:val="000D7078"/>
    <w:rsid w:val="000E3074"/>
    <w:rsid w:val="000E4CDE"/>
    <w:rsid w:val="000E6A85"/>
    <w:rsid w:val="000F07B1"/>
    <w:rsid w:val="000F1657"/>
    <w:rsid w:val="000F3188"/>
    <w:rsid w:val="000F4FB9"/>
    <w:rsid w:val="000F5A69"/>
    <w:rsid w:val="000F5BFE"/>
    <w:rsid w:val="00102B4B"/>
    <w:rsid w:val="00106155"/>
    <w:rsid w:val="00113761"/>
    <w:rsid w:val="0012255C"/>
    <w:rsid w:val="00122A3A"/>
    <w:rsid w:val="00124271"/>
    <w:rsid w:val="00127F28"/>
    <w:rsid w:val="0013013B"/>
    <w:rsid w:val="00132100"/>
    <w:rsid w:val="00142434"/>
    <w:rsid w:val="00143EE8"/>
    <w:rsid w:val="0014464F"/>
    <w:rsid w:val="00145038"/>
    <w:rsid w:val="001478E5"/>
    <w:rsid w:val="00151968"/>
    <w:rsid w:val="00155DFD"/>
    <w:rsid w:val="00171C2F"/>
    <w:rsid w:val="00173E35"/>
    <w:rsid w:val="001747D4"/>
    <w:rsid w:val="00183B0E"/>
    <w:rsid w:val="00197C16"/>
    <w:rsid w:val="001A1817"/>
    <w:rsid w:val="001A4EE0"/>
    <w:rsid w:val="001A5DD0"/>
    <w:rsid w:val="001A6808"/>
    <w:rsid w:val="001A75B1"/>
    <w:rsid w:val="001B116D"/>
    <w:rsid w:val="001B182E"/>
    <w:rsid w:val="001B1FE5"/>
    <w:rsid w:val="001B5367"/>
    <w:rsid w:val="001B5E2F"/>
    <w:rsid w:val="001B75E4"/>
    <w:rsid w:val="001B769C"/>
    <w:rsid w:val="001C040A"/>
    <w:rsid w:val="001C393D"/>
    <w:rsid w:val="001D2804"/>
    <w:rsid w:val="001D484D"/>
    <w:rsid w:val="001D6517"/>
    <w:rsid w:val="001D71D2"/>
    <w:rsid w:val="001E24B8"/>
    <w:rsid w:val="001E2A6C"/>
    <w:rsid w:val="001E2E36"/>
    <w:rsid w:val="001E4631"/>
    <w:rsid w:val="001E4C0A"/>
    <w:rsid w:val="001E643D"/>
    <w:rsid w:val="001E782F"/>
    <w:rsid w:val="001F3655"/>
    <w:rsid w:val="001F4BCD"/>
    <w:rsid w:val="001F4EE2"/>
    <w:rsid w:val="00202C95"/>
    <w:rsid w:val="002039DC"/>
    <w:rsid w:val="00213742"/>
    <w:rsid w:val="002223D0"/>
    <w:rsid w:val="00224285"/>
    <w:rsid w:val="00224C8B"/>
    <w:rsid w:val="00224F32"/>
    <w:rsid w:val="00230E92"/>
    <w:rsid w:val="00233877"/>
    <w:rsid w:val="00237AD0"/>
    <w:rsid w:val="00237AD8"/>
    <w:rsid w:val="0024237F"/>
    <w:rsid w:val="00247A09"/>
    <w:rsid w:val="00253A03"/>
    <w:rsid w:val="00254920"/>
    <w:rsid w:val="00257DCB"/>
    <w:rsid w:val="00257F08"/>
    <w:rsid w:val="00260CDD"/>
    <w:rsid w:val="00262BEA"/>
    <w:rsid w:val="00266374"/>
    <w:rsid w:val="00266DD3"/>
    <w:rsid w:val="00275F9C"/>
    <w:rsid w:val="00280291"/>
    <w:rsid w:val="002807A7"/>
    <w:rsid w:val="00280E8B"/>
    <w:rsid w:val="00291BD8"/>
    <w:rsid w:val="002A2FE9"/>
    <w:rsid w:val="002A3DC4"/>
    <w:rsid w:val="002B1602"/>
    <w:rsid w:val="002C44E5"/>
    <w:rsid w:val="002C53D3"/>
    <w:rsid w:val="002C55AB"/>
    <w:rsid w:val="002D0243"/>
    <w:rsid w:val="002D12AE"/>
    <w:rsid w:val="002D162B"/>
    <w:rsid w:val="002E34A8"/>
    <w:rsid w:val="002F017B"/>
    <w:rsid w:val="002F36E3"/>
    <w:rsid w:val="002F6D22"/>
    <w:rsid w:val="003051F6"/>
    <w:rsid w:val="00310136"/>
    <w:rsid w:val="00312BC8"/>
    <w:rsid w:val="00323EA4"/>
    <w:rsid w:val="003275CF"/>
    <w:rsid w:val="00327873"/>
    <w:rsid w:val="0033222D"/>
    <w:rsid w:val="00351F72"/>
    <w:rsid w:val="00354F60"/>
    <w:rsid w:val="003773AC"/>
    <w:rsid w:val="00392CCF"/>
    <w:rsid w:val="00396888"/>
    <w:rsid w:val="003B2424"/>
    <w:rsid w:val="003B4B34"/>
    <w:rsid w:val="003B6FD2"/>
    <w:rsid w:val="003C2ADC"/>
    <w:rsid w:val="003C3898"/>
    <w:rsid w:val="003C3F66"/>
    <w:rsid w:val="003C5B34"/>
    <w:rsid w:val="003C7105"/>
    <w:rsid w:val="003D06A2"/>
    <w:rsid w:val="003D1850"/>
    <w:rsid w:val="003D3536"/>
    <w:rsid w:val="003E51AE"/>
    <w:rsid w:val="003E6E11"/>
    <w:rsid w:val="003E74CD"/>
    <w:rsid w:val="003F0A06"/>
    <w:rsid w:val="003F0AD2"/>
    <w:rsid w:val="003F20D4"/>
    <w:rsid w:val="003F22D6"/>
    <w:rsid w:val="003F6BF7"/>
    <w:rsid w:val="00404E7B"/>
    <w:rsid w:val="00421DA7"/>
    <w:rsid w:val="0042276B"/>
    <w:rsid w:val="004232FA"/>
    <w:rsid w:val="00423969"/>
    <w:rsid w:val="00425ED4"/>
    <w:rsid w:val="00430A57"/>
    <w:rsid w:val="00440D8B"/>
    <w:rsid w:val="00450394"/>
    <w:rsid w:val="00452198"/>
    <w:rsid w:val="00452663"/>
    <w:rsid w:val="00453B2A"/>
    <w:rsid w:val="00454C6E"/>
    <w:rsid w:val="004562A2"/>
    <w:rsid w:val="0046618C"/>
    <w:rsid w:val="00473E9C"/>
    <w:rsid w:val="004743EB"/>
    <w:rsid w:val="00474DFF"/>
    <w:rsid w:val="004765C5"/>
    <w:rsid w:val="004868CE"/>
    <w:rsid w:val="004874ED"/>
    <w:rsid w:val="00492DBD"/>
    <w:rsid w:val="00497DCE"/>
    <w:rsid w:val="004A11A2"/>
    <w:rsid w:val="004A1646"/>
    <w:rsid w:val="004B0B2D"/>
    <w:rsid w:val="004B0CC3"/>
    <w:rsid w:val="004B5330"/>
    <w:rsid w:val="004B67F8"/>
    <w:rsid w:val="004B6ABB"/>
    <w:rsid w:val="004C2FDB"/>
    <w:rsid w:val="004C3647"/>
    <w:rsid w:val="004C3C8B"/>
    <w:rsid w:val="004C54BB"/>
    <w:rsid w:val="004C77F6"/>
    <w:rsid w:val="004C7F5E"/>
    <w:rsid w:val="004D4AB9"/>
    <w:rsid w:val="004D51D7"/>
    <w:rsid w:val="004E75F0"/>
    <w:rsid w:val="004F1716"/>
    <w:rsid w:val="004F72DD"/>
    <w:rsid w:val="00501A4E"/>
    <w:rsid w:val="00510AC4"/>
    <w:rsid w:val="00511D7F"/>
    <w:rsid w:val="00512D7D"/>
    <w:rsid w:val="005135EC"/>
    <w:rsid w:val="005152B8"/>
    <w:rsid w:val="0052608A"/>
    <w:rsid w:val="00537ECA"/>
    <w:rsid w:val="005440B6"/>
    <w:rsid w:val="00545033"/>
    <w:rsid w:val="00545DEC"/>
    <w:rsid w:val="0054670B"/>
    <w:rsid w:val="0055139B"/>
    <w:rsid w:val="005525AA"/>
    <w:rsid w:val="005623FB"/>
    <w:rsid w:val="00567118"/>
    <w:rsid w:val="005749F6"/>
    <w:rsid w:val="00575AAB"/>
    <w:rsid w:val="00575C27"/>
    <w:rsid w:val="00575DF8"/>
    <w:rsid w:val="005765FC"/>
    <w:rsid w:val="00581B19"/>
    <w:rsid w:val="00582DD8"/>
    <w:rsid w:val="005929D4"/>
    <w:rsid w:val="00594447"/>
    <w:rsid w:val="005A0639"/>
    <w:rsid w:val="005A6A8D"/>
    <w:rsid w:val="005B02E8"/>
    <w:rsid w:val="005C12B5"/>
    <w:rsid w:val="005C5858"/>
    <w:rsid w:val="005C743F"/>
    <w:rsid w:val="005D3E57"/>
    <w:rsid w:val="005D4EE6"/>
    <w:rsid w:val="005E0B3D"/>
    <w:rsid w:val="005E60E1"/>
    <w:rsid w:val="005F1A5D"/>
    <w:rsid w:val="005F1F5F"/>
    <w:rsid w:val="005F4049"/>
    <w:rsid w:val="005F5223"/>
    <w:rsid w:val="005F7B40"/>
    <w:rsid w:val="0060074B"/>
    <w:rsid w:val="006042E6"/>
    <w:rsid w:val="006065F2"/>
    <w:rsid w:val="0061369F"/>
    <w:rsid w:val="0061505A"/>
    <w:rsid w:val="00635BEC"/>
    <w:rsid w:val="00636848"/>
    <w:rsid w:val="00641114"/>
    <w:rsid w:val="00651420"/>
    <w:rsid w:val="00651D6D"/>
    <w:rsid w:val="0065357A"/>
    <w:rsid w:val="00654C2F"/>
    <w:rsid w:val="0065508A"/>
    <w:rsid w:val="00656D2A"/>
    <w:rsid w:val="00662881"/>
    <w:rsid w:val="00662CF6"/>
    <w:rsid w:val="0066319F"/>
    <w:rsid w:val="00664E75"/>
    <w:rsid w:val="0066528D"/>
    <w:rsid w:val="00665E5C"/>
    <w:rsid w:val="006738A9"/>
    <w:rsid w:val="00673E64"/>
    <w:rsid w:val="006749A2"/>
    <w:rsid w:val="006832C3"/>
    <w:rsid w:val="00685B0C"/>
    <w:rsid w:val="00686481"/>
    <w:rsid w:val="006944DE"/>
    <w:rsid w:val="006973F8"/>
    <w:rsid w:val="006A78B2"/>
    <w:rsid w:val="006A7BBD"/>
    <w:rsid w:val="006B144E"/>
    <w:rsid w:val="006B2EE6"/>
    <w:rsid w:val="006B400D"/>
    <w:rsid w:val="006B5EFE"/>
    <w:rsid w:val="006C6A5B"/>
    <w:rsid w:val="006D4114"/>
    <w:rsid w:val="006E303A"/>
    <w:rsid w:val="006E4F68"/>
    <w:rsid w:val="006E5126"/>
    <w:rsid w:val="006F248F"/>
    <w:rsid w:val="006F6BB9"/>
    <w:rsid w:val="006F708A"/>
    <w:rsid w:val="007020EF"/>
    <w:rsid w:val="00702930"/>
    <w:rsid w:val="00707273"/>
    <w:rsid w:val="00707FF4"/>
    <w:rsid w:val="007129E8"/>
    <w:rsid w:val="00714E68"/>
    <w:rsid w:val="0071545C"/>
    <w:rsid w:val="00724A0B"/>
    <w:rsid w:val="0073594D"/>
    <w:rsid w:val="00737475"/>
    <w:rsid w:val="00740A10"/>
    <w:rsid w:val="00744BFE"/>
    <w:rsid w:val="00752CE0"/>
    <w:rsid w:val="007577E5"/>
    <w:rsid w:val="00764892"/>
    <w:rsid w:val="0076630F"/>
    <w:rsid w:val="00767262"/>
    <w:rsid w:val="00770272"/>
    <w:rsid w:val="00771D5B"/>
    <w:rsid w:val="007739FC"/>
    <w:rsid w:val="007771CE"/>
    <w:rsid w:val="007832AC"/>
    <w:rsid w:val="00786944"/>
    <w:rsid w:val="00792E24"/>
    <w:rsid w:val="007969FF"/>
    <w:rsid w:val="007A40DD"/>
    <w:rsid w:val="007B248B"/>
    <w:rsid w:val="007B28B5"/>
    <w:rsid w:val="007C0209"/>
    <w:rsid w:val="007C08DC"/>
    <w:rsid w:val="007C214C"/>
    <w:rsid w:val="007C467C"/>
    <w:rsid w:val="007C67F3"/>
    <w:rsid w:val="007C7648"/>
    <w:rsid w:val="007D0484"/>
    <w:rsid w:val="007E1BED"/>
    <w:rsid w:val="007E3CAD"/>
    <w:rsid w:val="007F0C80"/>
    <w:rsid w:val="007F2AED"/>
    <w:rsid w:val="007F2E1B"/>
    <w:rsid w:val="00802368"/>
    <w:rsid w:val="00805A78"/>
    <w:rsid w:val="008139EA"/>
    <w:rsid w:val="008151DA"/>
    <w:rsid w:val="0082682A"/>
    <w:rsid w:val="00835E96"/>
    <w:rsid w:val="00837A8C"/>
    <w:rsid w:val="00846C5C"/>
    <w:rsid w:val="00850935"/>
    <w:rsid w:val="00852A04"/>
    <w:rsid w:val="008530A7"/>
    <w:rsid w:val="008546E0"/>
    <w:rsid w:val="00863553"/>
    <w:rsid w:val="00866768"/>
    <w:rsid w:val="0087270A"/>
    <w:rsid w:val="00873550"/>
    <w:rsid w:val="00884404"/>
    <w:rsid w:val="00885848"/>
    <w:rsid w:val="00887C0C"/>
    <w:rsid w:val="00890861"/>
    <w:rsid w:val="008979FE"/>
    <w:rsid w:val="008B0B99"/>
    <w:rsid w:val="008B38E7"/>
    <w:rsid w:val="008C2E9B"/>
    <w:rsid w:val="008D254C"/>
    <w:rsid w:val="008E44B9"/>
    <w:rsid w:val="008F391B"/>
    <w:rsid w:val="00902135"/>
    <w:rsid w:val="00911EBA"/>
    <w:rsid w:val="00914D7E"/>
    <w:rsid w:val="009200BD"/>
    <w:rsid w:val="00921C00"/>
    <w:rsid w:val="00922CFA"/>
    <w:rsid w:val="0092562E"/>
    <w:rsid w:val="009272B3"/>
    <w:rsid w:val="009323E6"/>
    <w:rsid w:val="00932F51"/>
    <w:rsid w:val="00935734"/>
    <w:rsid w:val="0094348A"/>
    <w:rsid w:val="009443DF"/>
    <w:rsid w:val="00945019"/>
    <w:rsid w:val="009522B6"/>
    <w:rsid w:val="00953AE1"/>
    <w:rsid w:val="009541DA"/>
    <w:rsid w:val="009543E0"/>
    <w:rsid w:val="00962EAE"/>
    <w:rsid w:val="009740D9"/>
    <w:rsid w:val="009742E9"/>
    <w:rsid w:val="00977B17"/>
    <w:rsid w:val="009809D3"/>
    <w:rsid w:val="0098637F"/>
    <w:rsid w:val="0099668E"/>
    <w:rsid w:val="009A06BC"/>
    <w:rsid w:val="009B3CF3"/>
    <w:rsid w:val="009C09E6"/>
    <w:rsid w:val="009C1DFF"/>
    <w:rsid w:val="009C2DEA"/>
    <w:rsid w:val="009C3B85"/>
    <w:rsid w:val="009C5647"/>
    <w:rsid w:val="009C6391"/>
    <w:rsid w:val="009D6EFF"/>
    <w:rsid w:val="009E0FC9"/>
    <w:rsid w:val="009E2FC7"/>
    <w:rsid w:val="009E5DC5"/>
    <w:rsid w:val="009E6E22"/>
    <w:rsid w:val="009E6E31"/>
    <w:rsid w:val="009F2758"/>
    <w:rsid w:val="009F3134"/>
    <w:rsid w:val="009F4DA0"/>
    <w:rsid w:val="009F5FA4"/>
    <w:rsid w:val="009F754C"/>
    <w:rsid w:val="009F7B45"/>
    <w:rsid w:val="00A01875"/>
    <w:rsid w:val="00A0287C"/>
    <w:rsid w:val="00A04A41"/>
    <w:rsid w:val="00A06E7E"/>
    <w:rsid w:val="00A10BEF"/>
    <w:rsid w:val="00A131EE"/>
    <w:rsid w:val="00A136AC"/>
    <w:rsid w:val="00A163C3"/>
    <w:rsid w:val="00A169E5"/>
    <w:rsid w:val="00A17727"/>
    <w:rsid w:val="00A2227E"/>
    <w:rsid w:val="00A231FD"/>
    <w:rsid w:val="00A474A9"/>
    <w:rsid w:val="00A51318"/>
    <w:rsid w:val="00A518E9"/>
    <w:rsid w:val="00A528F8"/>
    <w:rsid w:val="00A54A1C"/>
    <w:rsid w:val="00A55985"/>
    <w:rsid w:val="00A5701F"/>
    <w:rsid w:val="00A578AB"/>
    <w:rsid w:val="00A61CBF"/>
    <w:rsid w:val="00A65EAC"/>
    <w:rsid w:val="00A66B2A"/>
    <w:rsid w:val="00A7047C"/>
    <w:rsid w:val="00A71C32"/>
    <w:rsid w:val="00A7692D"/>
    <w:rsid w:val="00A87220"/>
    <w:rsid w:val="00A90860"/>
    <w:rsid w:val="00A94AB5"/>
    <w:rsid w:val="00AA20EA"/>
    <w:rsid w:val="00AA26DC"/>
    <w:rsid w:val="00AA7676"/>
    <w:rsid w:val="00AC46FF"/>
    <w:rsid w:val="00AC4DDD"/>
    <w:rsid w:val="00AC6A61"/>
    <w:rsid w:val="00AD1C5D"/>
    <w:rsid w:val="00AD5F04"/>
    <w:rsid w:val="00AD69DA"/>
    <w:rsid w:val="00AD7579"/>
    <w:rsid w:val="00AE10C9"/>
    <w:rsid w:val="00AE171E"/>
    <w:rsid w:val="00AE7E24"/>
    <w:rsid w:val="00AF09FF"/>
    <w:rsid w:val="00B00B2F"/>
    <w:rsid w:val="00B05845"/>
    <w:rsid w:val="00B14ED9"/>
    <w:rsid w:val="00B201B5"/>
    <w:rsid w:val="00B26BE9"/>
    <w:rsid w:val="00B273DE"/>
    <w:rsid w:val="00B33937"/>
    <w:rsid w:val="00B377CD"/>
    <w:rsid w:val="00B41261"/>
    <w:rsid w:val="00B45960"/>
    <w:rsid w:val="00B53B95"/>
    <w:rsid w:val="00B545B7"/>
    <w:rsid w:val="00B603AA"/>
    <w:rsid w:val="00B6287A"/>
    <w:rsid w:val="00B66957"/>
    <w:rsid w:val="00B6773E"/>
    <w:rsid w:val="00B74F7A"/>
    <w:rsid w:val="00B76636"/>
    <w:rsid w:val="00B80340"/>
    <w:rsid w:val="00B81934"/>
    <w:rsid w:val="00B81E6F"/>
    <w:rsid w:val="00B92281"/>
    <w:rsid w:val="00BA052A"/>
    <w:rsid w:val="00BA42E7"/>
    <w:rsid w:val="00BA721C"/>
    <w:rsid w:val="00BB2481"/>
    <w:rsid w:val="00BB55E7"/>
    <w:rsid w:val="00BB66DA"/>
    <w:rsid w:val="00BD1B2F"/>
    <w:rsid w:val="00BF1768"/>
    <w:rsid w:val="00BF57A4"/>
    <w:rsid w:val="00BF6E16"/>
    <w:rsid w:val="00C032F0"/>
    <w:rsid w:val="00C050D8"/>
    <w:rsid w:val="00C10822"/>
    <w:rsid w:val="00C13D36"/>
    <w:rsid w:val="00C16CA5"/>
    <w:rsid w:val="00C21DAF"/>
    <w:rsid w:val="00C23964"/>
    <w:rsid w:val="00C244D2"/>
    <w:rsid w:val="00C26D7F"/>
    <w:rsid w:val="00C373C1"/>
    <w:rsid w:val="00C37655"/>
    <w:rsid w:val="00C4115F"/>
    <w:rsid w:val="00C44799"/>
    <w:rsid w:val="00C4482A"/>
    <w:rsid w:val="00C512CC"/>
    <w:rsid w:val="00C53048"/>
    <w:rsid w:val="00C55DF4"/>
    <w:rsid w:val="00C57BED"/>
    <w:rsid w:val="00C6201A"/>
    <w:rsid w:val="00C62E06"/>
    <w:rsid w:val="00C636AC"/>
    <w:rsid w:val="00C73144"/>
    <w:rsid w:val="00C76723"/>
    <w:rsid w:val="00C77481"/>
    <w:rsid w:val="00C8418C"/>
    <w:rsid w:val="00C95825"/>
    <w:rsid w:val="00CA2A5D"/>
    <w:rsid w:val="00CA5522"/>
    <w:rsid w:val="00CA7592"/>
    <w:rsid w:val="00CA764D"/>
    <w:rsid w:val="00CB222F"/>
    <w:rsid w:val="00CB3BDB"/>
    <w:rsid w:val="00CB50F6"/>
    <w:rsid w:val="00CB60CA"/>
    <w:rsid w:val="00CC01AF"/>
    <w:rsid w:val="00CC286B"/>
    <w:rsid w:val="00CC3321"/>
    <w:rsid w:val="00CC3A65"/>
    <w:rsid w:val="00CC4094"/>
    <w:rsid w:val="00CD2DF3"/>
    <w:rsid w:val="00CD463F"/>
    <w:rsid w:val="00CE4FE0"/>
    <w:rsid w:val="00CE5658"/>
    <w:rsid w:val="00CF0EDC"/>
    <w:rsid w:val="00CF7379"/>
    <w:rsid w:val="00D00C8B"/>
    <w:rsid w:val="00D06FA5"/>
    <w:rsid w:val="00D12510"/>
    <w:rsid w:val="00D159CC"/>
    <w:rsid w:val="00D163B2"/>
    <w:rsid w:val="00D20488"/>
    <w:rsid w:val="00D23E2A"/>
    <w:rsid w:val="00D24566"/>
    <w:rsid w:val="00D25476"/>
    <w:rsid w:val="00D2563D"/>
    <w:rsid w:val="00D3012B"/>
    <w:rsid w:val="00D40BF5"/>
    <w:rsid w:val="00D446A3"/>
    <w:rsid w:val="00D44D23"/>
    <w:rsid w:val="00D51E87"/>
    <w:rsid w:val="00D543F9"/>
    <w:rsid w:val="00D566B8"/>
    <w:rsid w:val="00D62CDD"/>
    <w:rsid w:val="00D67475"/>
    <w:rsid w:val="00D679B1"/>
    <w:rsid w:val="00D70619"/>
    <w:rsid w:val="00D70E5E"/>
    <w:rsid w:val="00D749CE"/>
    <w:rsid w:val="00D831CA"/>
    <w:rsid w:val="00D86160"/>
    <w:rsid w:val="00D8649E"/>
    <w:rsid w:val="00DA117F"/>
    <w:rsid w:val="00DA2577"/>
    <w:rsid w:val="00DA3554"/>
    <w:rsid w:val="00DA5C7B"/>
    <w:rsid w:val="00DB1D8A"/>
    <w:rsid w:val="00DC0547"/>
    <w:rsid w:val="00DC29FD"/>
    <w:rsid w:val="00DC38C0"/>
    <w:rsid w:val="00DD0E0B"/>
    <w:rsid w:val="00DD211E"/>
    <w:rsid w:val="00DD3AA4"/>
    <w:rsid w:val="00DD7E26"/>
    <w:rsid w:val="00DE53F4"/>
    <w:rsid w:val="00DE57C0"/>
    <w:rsid w:val="00DE6F80"/>
    <w:rsid w:val="00DE763C"/>
    <w:rsid w:val="00DF1D0F"/>
    <w:rsid w:val="00DF2457"/>
    <w:rsid w:val="00DF781F"/>
    <w:rsid w:val="00E04472"/>
    <w:rsid w:val="00E05820"/>
    <w:rsid w:val="00E060B3"/>
    <w:rsid w:val="00E1171F"/>
    <w:rsid w:val="00E17472"/>
    <w:rsid w:val="00E23991"/>
    <w:rsid w:val="00E27618"/>
    <w:rsid w:val="00E30783"/>
    <w:rsid w:val="00E3406D"/>
    <w:rsid w:val="00E377FC"/>
    <w:rsid w:val="00E41E71"/>
    <w:rsid w:val="00E47082"/>
    <w:rsid w:val="00E5435B"/>
    <w:rsid w:val="00E62DDD"/>
    <w:rsid w:val="00E636B0"/>
    <w:rsid w:val="00E64137"/>
    <w:rsid w:val="00E724CA"/>
    <w:rsid w:val="00E77784"/>
    <w:rsid w:val="00E815F2"/>
    <w:rsid w:val="00E91B53"/>
    <w:rsid w:val="00EA0F7F"/>
    <w:rsid w:val="00EA1137"/>
    <w:rsid w:val="00EB018C"/>
    <w:rsid w:val="00EB1EAD"/>
    <w:rsid w:val="00EB1ED9"/>
    <w:rsid w:val="00EB5870"/>
    <w:rsid w:val="00EC1207"/>
    <w:rsid w:val="00EC5CA2"/>
    <w:rsid w:val="00ED267B"/>
    <w:rsid w:val="00ED5EE3"/>
    <w:rsid w:val="00ED63CD"/>
    <w:rsid w:val="00EE3741"/>
    <w:rsid w:val="00EF5616"/>
    <w:rsid w:val="00EF6A9C"/>
    <w:rsid w:val="00F01FD9"/>
    <w:rsid w:val="00F035AD"/>
    <w:rsid w:val="00F03AD7"/>
    <w:rsid w:val="00F0629B"/>
    <w:rsid w:val="00F07DEF"/>
    <w:rsid w:val="00F14BAB"/>
    <w:rsid w:val="00F16A27"/>
    <w:rsid w:val="00F236FA"/>
    <w:rsid w:val="00F26F49"/>
    <w:rsid w:val="00F318C0"/>
    <w:rsid w:val="00F31A09"/>
    <w:rsid w:val="00F3410E"/>
    <w:rsid w:val="00F34ACF"/>
    <w:rsid w:val="00F36258"/>
    <w:rsid w:val="00F36670"/>
    <w:rsid w:val="00F40F40"/>
    <w:rsid w:val="00F42F9D"/>
    <w:rsid w:val="00F43DED"/>
    <w:rsid w:val="00F512BD"/>
    <w:rsid w:val="00F52843"/>
    <w:rsid w:val="00F53B23"/>
    <w:rsid w:val="00F542A3"/>
    <w:rsid w:val="00F549E1"/>
    <w:rsid w:val="00F56BFD"/>
    <w:rsid w:val="00F60854"/>
    <w:rsid w:val="00F70401"/>
    <w:rsid w:val="00F777FF"/>
    <w:rsid w:val="00F809DE"/>
    <w:rsid w:val="00F828CE"/>
    <w:rsid w:val="00F8630C"/>
    <w:rsid w:val="00F96A60"/>
    <w:rsid w:val="00F9791C"/>
    <w:rsid w:val="00FA4E07"/>
    <w:rsid w:val="00FB49FE"/>
    <w:rsid w:val="00FB6416"/>
    <w:rsid w:val="00FB798C"/>
    <w:rsid w:val="00FC0042"/>
    <w:rsid w:val="00FC0092"/>
    <w:rsid w:val="00FD0628"/>
    <w:rsid w:val="00FD5D18"/>
    <w:rsid w:val="00FE4D9D"/>
    <w:rsid w:val="00FF2ACE"/>
    <w:rsid w:val="00FF5BB9"/>
    <w:rsid w:val="00FF690B"/>
    <w:rsid w:val="00FF6C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C88E"/>
  <w15:docId w15:val="{327C8B6D-A31C-4FA4-98B6-13F3C195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562E"/>
    <w:pPr>
      <w:keepNext/>
      <w:numPr>
        <w:numId w:val="4"/>
      </w:numPr>
      <w:suppressAutoHyphens/>
      <w:spacing w:before="240" w:after="60" w:line="240" w:lineRule="auto"/>
      <w:outlineLvl w:val="0"/>
    </w:pPr>
    <w:rPr>
      <w:rFonts w:ascii="Verdana" w:eastAsia="Times New Roman" w:hAnsi="Verdana" w:cs="Arial"/>
      <w:b/>
      <w:bCs/>
      <w:kern w:val="32"/>
      <w:sz w:val="24"/>
      <w:szCs w:val="32"/>
      <w:lang w:eastAsia="ar-SA"/>
    </w:rPr>
  </w:style>
  <w:style w:type="paragraph" w:styleId="Heading2">
    <w:name w:val="heading 2"/>
    <w:basedOn w:val="Normal"/>
    <w:next w:val="Normal"/>
    <w:link w:val="Heading2Char"/>
    <w:qFormat/>
    <w:rsid w:val="0092562E"/>
    <w:pPr>
      <w:keepNext/>
      <w:numPr>
        <w:ilvl w:val="1"/>
        <w:numId w:val="4"/>
      </w:numPr>
      <w:suppressAutoHyphens/>
      <w:spacing w:before="240" w:after="60" w:line="240" w:lineRule="auto"/>
      <w:outlineLvl w:val="1"/>
    </w:pPr>
    <w:rPr>
      <w:rFonts w:ascii="Verdana" w:eastAsia="Times New Roman" w:hAnsi="Verdana" w:cs="Arial"/>
      <w:b/>
      <w:bCs/>
      <w:i/>
      <w:iCs/>
      <w:szCs w:val="28"/>
      <w:lang w:eastAsia="ar-SA"/>
    </w:rPr>
  </w:style>
  <w:style w:type="paragraph" w:styleId="Heading3">
    <w:name w:val="heading 3"/>
    <w:basedOn w:val="Normal"/>
    <w:next w:val="Normal"/>
    <w:link w:val="Heading3Char"/>
    <w:qFormat/>
    <w:rsid w:val="0092562E"/>
    <w:pPr>
      <w:keepNext/>
      <w:numPr>
        <w:ilvl w:val="2"/>
        <w:numId w:val="4"/>
      </w:numPr>
      <w:suppressAutoHyphens/>
      <w:spacing w:before="240" w:after="60" w:line="240" w:lineRule="auto"/>
      <w:outlineLvl w:val="2"/>
    </w:pPr>
    <w:rPr>
      <w:rFonts w:ascii="Arial" w:eastAsia="Times New Roman" w:hAnsi="Arial" w:cs="Arial"/>
      <w:b/>
      <w:bCs/>
      <w:sz w:val="26"/>
      <w:szCs w:val="26"/>
      <w:lang w:eastAsia="ar-SA"/>
    </w:rPr>
  </w:style>
  <w:style w:type="paragraph" w:styleId="Heading4">
    <w:name w:val="heading 4"/>
    <w:basedOn w:val="Normal"/>
    <w:next w:val="Normal"/>
    <w:link w:val="Heading4Char"/>
    <w:qFormat/>
    <w:rsid w:val="0092562E"/>
    <w:pPr>
      <w:keepNext/>
      <w:numPr>
        <w:ilvl w:val="3"/>
        <w:numId w:val="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Heading5">
    <w:name w:val="heading 5"/>
    <w:basedOn w:val="Normal"/>
    <w:next w:val="Normal"/>
    <w:link w:val="Heading5Char"/>
    <w:qFormat/>
    <w:rsid w:val="0092562E"/>
    <w:pPr>
      <w:numPr>
        <w:ilvl w:val="4"/>
        <w:numId w:val="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92562E"/>
    <w:pPr>
      <w:numPr>
        <w:ilvl w:val="5"/>
        <w:numId w:val="4"/>
      </w:numPr>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92562E"/>
    <w:pPr>
      <w:numPr>
        <w:ilvl w:val="6"/>
        <w:numId w:val="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92562E"/>
    <w:pPr>
      <w:numPr>
        <w:ilvl w:val="7"/>
        <w:numId w:val="4"/>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Heading9">
    <w:name w:val="heading 9"/>
    <w:basedOn w:val="Normal"/>
    <w:next w:val="Normal"/>
    <w:link w:val="Heading9Char"/>
    <w:qFormat/>
    <w:rsid w:val="0092562E"/>
    <w:pPr>
      <w:numPr>
        <w:ilvl w:val="8"/>
        <w:numId w:val="4"/>
      </w:numPr>
      <w:suppressAutoHyphens/>
      <w:spacing w:before="240" w:after="60" w:line="240" w:lineRule="auto"/>
      <w:outlineLvl w:val="8"/>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2A3A"/>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C0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9E6"/>
    <w:rPr>
      <w:sz w:val="20"/>
      <w:szCs w:val="20"/>
    </w:rPr>
  </w:style>
  <w:style w:type="character" w:styleId="FootnoteReference">
    <w:name w:val="footnote reference"/>
    <w:basedOn w:val="DefaultParagraphFont"/>
    <w:uiPriority w:val="99"/>
    <w:semiHidden/>
    <w:unhideWhenUsed/>
    <w:rsid w:val="009C09E6"/>
    <w:rPr>
      <w:vertAlign w:val="superscript"/>
    </w:rPr>
  </w:style>
  <w:style w:type="paragraph" w:styleId="Header">
    <w:name w:val="header"/>
    <w:basedOn w:val="Normal"/>
    <w:link w:val="HeaderChar"/>
    <w:uiPriority w:val="99"/>
    <w:unhideWhenUsed/>
    <w:rsid w:val="009C0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9E6"/>
  </w:style>
  <w:style w:type="paragraph" w:styleId="Footer">
    <w:name w:val="footer"/>
    <w:basedOn w:val="Normal"/>
    <w:link w:val="FooterChar"/>
    <w:uiPriority w:val="99"/>
    <w:unhideWhenUsed/>
    <w:rsid w:val="009C0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9E6"/>
  </w:style>
  <w:style w:type="paragraph" w:styleId="ListParagraph">
    <w:name w:val="List Paragraph"/>
    <w:basedOn w:val="Normal"/>
    <w:uiPriority w:val="34"/>
    <w:qFormat/>
    <w:rsid w:val="00C8418C"/>
    <w:pPr>
      <w:ind w:left="720"/>
      <w:contextualSpacing/>
    </w:pPr>
  </w:style>
  <w:style w:type="paragraph" w:styleId="BalloonText">
    <w:name w:val="Balloon Text"/>
    <w:basedOn w:val="Normal"/>
    <w:link w:val="BalloonTextChar"/>
    <w:uiPriority w:val="99"/>
    <w:semiHidden/>
    <w:unhideWhenUsed/>
    <w:rsid w:val="00B45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960"/>
    <w:rPr>
      <w:rFonts w:ascii="Tahoma" w:hAnsi="Tahoma" w:cs="Tahoma"/>
      <w:sz w:val="16"/>
      <w:szCs w:val="16"/>
    </w:rPr>
  </w:style>
  <w:style w:type="character" w:styleId="CommentReference">
    <w:name w:val="annotation reference"/>
    <w:basedOn w:val="DefaultParagraphFont"/>
    <w:uiPriority w:val="99"/>
    <w:semiHidden/>
    <w:unhideWhenUsed/>
    <w:rsid w:val="002A2FE9"/>
    <w:rPr>
      <w:sz w:val="16"/>
      <w:szCs w:val="16"/>
    </w:rPr>
  </w:style>
  <w:style w:type="paragraph" w:styleId="CommentText">
    <w:name w:val="annotation text"/>
    <w:basedOn w:val="Normal"/>
    <w:link w:val="CommentTextChar"/>
    <w:uiPriority w:val="99"/>
    <w:semiHidden/>
    <w:unhideWhenUsed/>
    <w:rsid w:val="002A2FE9"/>
    <w:pPr>
      <w:spacing w:line="240" w:lineRule="auto"/>
    </w:pPr>
    <w:rPr>
      <w:sz w:val="20"/>
      <w:szCs w:val="20"/>
    </w:rPr>
  </w:style>
  <w:style w:type="character" w:customStyle="1" w:styleId="CommentTextChar">
    <w:name w:val="Comment Text Char"/>
    <w:basedOn w:val="DefaultParagraphFont"/>
    <w:link w:val="CommentText"/>
    <w:uiPriority w:val="99"/>
    <w:semiHidden/>
    <w:rsid w:val="002A2FE9"/>
    <w:rPr>
      <w:sz w:val="20"/>
      <w:szCs w:val="20"/>
    </w:rPr>
  </w:style>
  <w:style w:type="table" w:styleId="TableGrid">
    <w:name w:val="Table Grid"/>
    <w:basedOn w:val="TableNormal"/>
    <w:uiPriority w:val="59"/>
    <w:rsid w:val="000F4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FB6416"/>
    <w:rPr>
      <w:b/>
      <w:bCs/>
    </w:rPr>
  </w:style>
  <w:style w:type="character" w:customStyle="1" w:styleId="CommentSubjectChar">
    <w:name w:val="Comment Subject Char"/>
    <w:basedOn w:val="CommentTextChar"/>
    <w:link w:val="CommentSubject"/>
    <w:uiPriority w:val="99"/>
    <w:semiHidden/>
    <w:rsid w:val="00FB6416"/>
    <w:rPr>
      <w:b/>
      <w:bCs/>
      <w:sz w:val="20"/>
      <w:szCs w:val="20"/>
    </w:rPr>
  </w:style>
  <w:style w:type="character" w:customStyle="1" w:styleId="Heading1Char">
    <w:name w:val="Heading 1 Char"/>
    <w:basedOn w:val="DefaultParagraphFont"/>
    <w:link w:val="Heading1"/>
    <w:rsid w:val="0092562E"/>
    <w:rPr>
      <w:rFonts w:ascii="Verdana" w:eastAsia="Times New Roman" w:hAnsi="Verdana" w:cs="Arial"/>
      <w:b/>
      <w:bCs/>
      <w:kern w:val="32"/>
      <w:sz w:val="24"/>
      <w:szCs w:val="32"/>
      <w:lang w:eastAsia="ar-SA"/>
    </w:rPr>
  </w:style>
  <w:style w:type="character" w:customStyle="1" w:styleId="Heading2Char">
    <w:name w:val="Heading 2 Char"/>
    <w:basedOn w:val="DefaultParagraphFont"/>
    <w:link w:val="Heading2"/>
    <w:rsid w:val="0092562E"/>
    <w:rPr>
      <w:rFonts w:ascii="Verdana" w:eastAsia="Times New Roman" w:hAnsi="Verdana" w:cs="Arial"/>
      <w:b/>
      <w:bCs/>
      <w:i/>
      <w:iCs/>
      <w:szCs w:val="28"/>
      <w:lang w:eastAsia="ar-SA"/>
    </w:rPr>
  </w:style>
  <w:style w:type="character" w:customStyle="1" w:styleId="Heading3Char">
    <w:name w:val="Heading 3 Char"/>
    <w:basedOn w:val="DefaultParagraphFont"/>
    <w:link w:val="Heading3"/>
    <w:rsid w:val="0092562E"/>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92562E"/>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92562E"/>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92562E"/>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92562E"/>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92562E"/>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92562E"/>
    <w:rPr>
      <w:rFonts w:ascii="Arial" w:eastAsia="Times New Roman" w:hAnsi="Arial" w:cs="Arial"/>
      <w:lang w:eastAsia="ar-SA"/>
    </w:rPr>
  </w:style>
  <w:style w:type="paragraph" w:styleId="NoSpacing">
    <w:name w:val="No Spacing"/>
    <w:uiPriority w:val="1"/>
    <w:qFormat/>
    <w:rsid w:val="00F03AD7"/>
    <w:pPr>
      <w:spacing w:after="0" w:line="240" w:lineRule="auto"/>
    </w:pPr>
    <w:rPr>
      <w:rFonts w:ascii="Calibri" w:eastAsia="Calibri" w:hAnsi="Calibri" w:cs="Times New Roman"/>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382FA-FD62-4D2E-8955-321D1662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Maru</dc:creator>
  <cp:lastModifiedBy>Tiga Galo</cp:lastModifiedBy>
  <cp:revision>10</cp:revision>
  <dcterms:created xsi:type="dcterms:W3CDTF">2013-07-03T10:11:00Z</dcterms:created>
  <dcterms:modified xsi:type="dcterms:W3CDTF">2013-07-06T08:15:00Z</dcterms:modified>
</cp:coreProperties>
</file>