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561EC" w14:textId="77777777" w:rsidR="000A3F2E" w:rsidRPr="008A34F8" w:rsidRDefault="000A3F2E" w:rsidP="000A3F2E">
      <w:pPr>
        <w:autoSpaceDE w:val="0"/>
        <w:autoSpaceDN w:val="0"/>
        <w:adjustRightInd w:val="0"/>
        <w:snapToGrid w:val="0"/>
        <w:spacing w:after="0" w:line="240" w:lineRule="auto"/>
        <w:jc w:val="center"/>
        <w:rPr>
          <w:rFonts w:cstheme="minorHAnsi"/>
          <w:b/>
          <w:bCs/>
          <w:lang w:val="en-AU" w:eastAsia="en-NZ"/>
        </w:rPr>
      </w:pPr>
    </w:p>
    <w:p w14:paraId="42EA7852" w14:textId="77777777" w:rsidR="000A3F2E" w:rsidRPr="008A34F8" w:rsidRDefault="000A3F2E" w:rsidP="000A3F2E">
      <w:pPr>
        <w:autoSpaceDE w:val="0"/>
        <w:autoSpaceDN w:val="0"/>
        <w:adjustRightInd w:val="0"/>
        <w:snapToGrid w:val="0"/>
        <w:spacing w:after="0" w:line="240" w:lineRule="auto"/>
        <w:jc w:val="center"/>
        <w:rPr>
          <w:rFonts w:cstheme="minorHAnsi"/>
          <w:b/>
          <w:bCs/>
          <w:lang w:val="en-AU" w:eastAsia="en-NZ"/>
        </w:rPr>
      </w:pPr>
    </w:p>
    <w:p w14:paraId="3816B69C" w14:textId="1E97A070" w:rsidR="000A3F2E" w:rsidRPr="008A34F8" w:rsidRDefault="00DC209C" w:rsidP="000A3F2E">
      <w:pPr>
        <w:autoSpaceDE w:val="0"/>
        <w:autoSpaceDN w:val="0"/>
        <w:adjustRightInd w:val="0"/>
        <w:snapToGrid w:val="0"/>
        <w:spacing w:after="0" w:line="240" w:lineRule="auto"/>
        <w:jc w:val="center"/>
        <w:rPr>
          <w:rFonts w:cstheme="minorHAnsi"/>
          <w:b/>
          <w:bCs/>
          <w:lang w:val="en-AU" w:eastAsia="en-NZ"/>
        </w:rPr>
      </w:pPr>
      <w:r w:rsidRPr="008A34F8">
        <w:rPr>
          <w:rFonts w:eastAsia="Times New Roman" w:cstheme="minorHAnsi"/>
          <w:b/>
          <w:bCs/>
          <w:noProof/>
          <w:color w:val="000000" w:themeColor="text1"/>
        </w:rPr>
        <w:drawing>
          <wp:inline distT="0" distB="0" distL="0" distR="0" wp14:anchorId="39F2AED2" wp14:editId="2E2988BB">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5A6849D3" w14:textId="77777777" w:rsidR="000A3F2E" w:rsidRPr="008A34F8" w:rsidRDefault="000A3F2E" w:rsidP="000A3F2E">
      <w:pPr>
        <w:autoSpaceDE w:val="0"/>
        <w:autoSpaceDN w:val="0"/>
        <w:adjustRightInd w:val="0"/>
        <w:snapToGrid w:val="0"/>
        <w:spacing w:after="0" w:line="240" w:lineRule="auto"/>
        <w:jc w:val="center"/>
        <w:rPr>
          <w:rFonts w:cstheme="minorHAnsi"/>
          <w:b/>
          <w:bCs/>
          <w:lang w:val="en-AU" w:eastAsia="en-NZ"/>
        </w:rPr>
      </w:pPr>
    </w:p>
    <w:p w14:paraId="6DE5049B" w14:textId="77777777" w:rsidR="000A3F2E" w:rsidRPr="008A34F8" w:rsidRDefault="000A3F2E" w:rsidP="000A3F2E">
      <w:pPr>
        <w:autoSpaceDE w:val="0"/>
        <w:autoSpaceDN w:val="0"/>
        <w:adjustRightInd w:val="0"/>
        <w:snapToGrid w:val="0"/>
        <w:spacing w:after="0" w:line="240" w:lineRule="auto"/>
        <w:jc w:val="center"/>
        <w:rPr>
          <w:rFonts w:cstheme="minorHAnsi"/>
          <w:b/>
          <w:bCs/>
          <w:lang w:val="en-AU" w:eastAsia="en-NZ"/>
        </w:rPr>
      </w:pPr>
    </w:p>
    <w:p w14:paraId="05EEB02A" w14:textId="77777777" w:rsidR="000A3F2E" w:rsidRPr="008A34F8" w:rsidRDefault="000A3F2E" w:rsidP="000A3F2E">
      <w:pPr>
        <w:adjustRightInd w:val="0"/>
        <w:snapToGrid w:val="0"/>
        <w:spacing w:after="0" w:line="240" w:lineRule="auto"/>
        <w:jc w:val="center"/>
        <w:rPr>
          <w:rFonts w:cstheme="minorHAnsi"/>
          <w:b/>
          <w:lang w:val="en-NZ"/>
        </w:rPr>
      </w:pPr>
      <w:r w:rsidRPr="008A34F8">
        <w:rPr>
          <w:rFonts w:cstheme="minorHAnsi"/>
          <w:b/>
          <w:lang w:val="en-NZ"/>
        </w:rPr>
        <w:t xml:space="preserve">The Commission for the Conservation and Management of </w:t>
      </w:r>
    </w:p>
    <w:p w14:paraId="30E8E67E" w14:textId="77777777" w:rsidR="000A3F2E" w:rsidRPr="008A34F8" w:rsidRDefault="000A3F2E" w:rsidP="000A3F2E">
      <w:pPr>
        <w:adjustRightInd w:val="0"/>
        <w:snapToGrid w:val="0"/>
        <w:spacing w:after="0" w:line="240" w:lineRule="auto"/>
        <w:jc w:val="center"/>
        <w:rPr>
          <w:rFonts w:cstheme="minorHAnsi"/>
          <w:b/>
          <w:lang w:val="en-NZ"/>
        </w:rPr>
      </w:pPr>
      <w:r w:rsidRPr="008A34F8">
        <w:rPr>
          <w:rFonts w:cstheme="minorHAnsi"/>
          <w:b/>
          <w:lang w:val="en-NZ"/>
        </w:rPr>
        <w:t xml:space="preserve">Highly Migratory Fish Stocks in the Western and Central Pacific Ocean </w:t>
      </w:r>
    </w:p>
    <w:p w14:paraId="71DF4231" w14:textId="77777777" w:rsidR="000A3F2E" w:rsidRPr="008A34F8" w:rsidRDefault="000A3F2E" w:rsidP="000A3F2E">
      <w:pPr>
        <w:adjustRightInd w:val="0"/>
        <w:snapToGrid w:val="0"/>
        <w:spacing w:after="0" w:line="240" w:lineRule="auto"/>
        <w:jc w:val="center"/>
        <w:rPr>
          <w:rFonts w:cstheme="minorHAnsi"/>
          <w:b/>
          <w:lang w:val="en-NZ"/>
        </w:rPr>
      </w:pPr>
    </w:p>
    <w:p w14:paraId="1CFB4A83" w14:textId="77777777" w:rsidR="000A3F2E" w:rsidRPr="008A34F8" w:rsidRDefault="000A3F2E" w:rsidP="000A3F2E">
      <w:pPr>
        <w:adjustRightInd w:val="0"/>
        <w:snapToGrid w:val="0"/>
        <w:spacing w:after="0" w:line="240" w:lineRule="auto"/>
        <w:jc w:val="center"/>
        <w:rPr>
          <w:rFonts w:cstheme="minorHAnsi"/>
          <w:b/>
          <w:lang w:val="en-NZ"/>
        </w:rPr>
      </w:pPr>
    </w:p>
    <w:p w14:paraId="6F664F0A" w14:textId="77777777" w:rsidR="000A3F2E" w:rsidRPr="008A34F8" w:rsidRDefault="000A3F2E" w:rsidP="000A3F2E">
      <w:pPr>
        <w:adjustRightInd w:val="0"/>
        <w:snapToGrid w:val="0"/>
        <w:spacing w:after="0" w:line="240" w:lineRule="auto"/>
        <w:jc w:val="center"/>
        <w:rPr>
          <w:rFonts w:cstheme="minorHAnsi"/>
          <w:b/>
          <w:lang w:val="en-NZ"/>
        </w:rPr>
      </w:pPr>
    </w:p>
    <w:p w14:paraId="42F32F77" w14:textId="77777777" w:rsidR="000A3F2E" w:rsidRPr="008A34F8" w:rsidRDefault="000A3F2E" w:rsidP="000A3F2E">
      <w:pPr>
        <w:adjustRightInd w:val="0"/>
        <w:snapToGrid w:val="0"/>
        <w:spacing w:after="0" w:line="240" w:lineRule="auto"/>
        <w:jc w:val="center"/>
        <w:rPr>
          <w:rFonts w:cstheme="minorHAnsi"/>
          <w:b/>
          <w:caps/>
          <w:lang w:val="en-NZ"/>
        </w:rPr>
      </w:pPr>
      <w:r w:rsidRPr="008A34F8">
        <w:rPr>
          <w:rFonts w:cstheme="minorHAnsi"/>
          <w:b/>
          <w:caps/>
          <w:lang w:val="en-NZ"/>
        </w:rPr>
        <w:t>Scientific Committee</w:t>
      </w:r>
    </w:p>
    <w:p w14:paraId="0670B363" w14:textId="77777777" w:rsidR="000A3F2E" w:rsidRPr="008A34F8" w:rsidRDefault="000A3F2E" w:rsidP="000A3F2E">
      <w:pPr>
        <w:adjustRightInd w:val="0"/>
        <w:snapToGrid w:val="0"/>
        <w:spacing w:after="0" w:line="240" w:lineRule="auto"/>
        <w:jc w:val="center"/>
        <w:rPr>
          <w:rFonts w:cstheme="minorHAnsi"/>
          <w:b/>
          <w:lang w:val="en-NZ"/>
        </w:rPr>
      </w:pPr>
    </w:p>
    <w:p w14:paraId="689FFE20" w14:textId="77777777" w:rsidR="00CC0F4B" w:rsidRPr="008A34F8" w:rsidRDefault="00CC0F4B" w:rsidP="004B05DF">
      <w:pPr>
        <w:spacing w:after="0" w:line="240" w:lineRule="auto"/>
        <w:jc w:val="center"/>
        <w:rPr>
          <w:rFonts w:cstheme="minorHAnsi"/>
          <w:b/>
        </w:rPr>
      </w:pPr>
    </w:p>
    <w:p w14:paraId="666CDA12" w14:textId="385D26A3" w:rsidR="004B05DF" w:rsidRPr="008A34F8" w:rsidRDefault="009F6818" w:rsidP="000A3F2E">
      <w:pPr>
        <w:adjustRightInd w:val="0"/>
        <w:snapToGrid w:val="0"/>
        <w:spacing w:after="0" w:line="240" w:lineRule="auto"/>
        <w:jc w:val="center"/>
        <w:rPr>
          <w:rFonts w:cstheme="minorHAnsi"/>
          <w:b/>
          <w:sz w:val="28"/>
          <w:szCs w:val="28"/>
        </w:rPr>
      </w:pPr>
      <w:r w:rsidRPr="008A34F8">
        <w:rPr>
          <w:rFonts w:cstheme="minorHAnsi"/>
          <w:b/>
          <w:caps/>
          <w:sz w:val="28"/>
          <w:szCs w:val="28"/>
        </w:rPr>
        <w:t>Southwest</w:t>
      </w:r>
      <w:r w:rsidR="00400113" w:rsidRPr="008A34F8">
        <w:rPr>
          <w:rFonts w:cstheme="minorHAnsi"/>
          <w:b/>
          <w:caps/>
          <w:sz w:val="28"/>
          <w:szCs w:val="28"/>
        </w:rPr>
        <w:t xml:space="preserve"> </w:t>
      </w:r>
      <w:r w:rsidR="003F50D6" w:rsidRPr="008A34F8">
        <w:rPr>
          <w:rFonts w:cstheme="minorHAnsi"/>
          <w:b/>
          <w:caps/>
          <w:sz w:val="28"/>
          <w:szCs w:val="28"/>
        </w:rPr>
        <w:t xml:space="preserve">Pacific </w:t>
      </w:r>
      <w:r w:rsidR="00400113" w:rsidRPr="008A34F8">
        <w:rPr>
          <w:rFonts w:cstheme="minorHAnsi"/>
          <w:b/>
          <w:caps/>
          <w:sz w:val="28"/>
          <w:szCs w:val="28"/>
        </w:rPr>
        <w:t>S</w:t>
      </w:r>
      <w:r w:rsidR="007A432D" w:rsidRPr="008A34F8">
        <w:rPr>
          <w:rFonts w:cstheme="minorHAnsi"/>
          <w:b/>
          <w:caps/>
          <w:sz w:val="28"/>
          <w:szCs w:val="28"/>
        </w:rPr>
        <w:t>triped Marlin</w:t>
      </w:r>
      <w:r w:rsidR="007A432D" w:rsidRPr="008A34F8">
        <w:rPr>
          <w:rFonts w:cstheme="minorHAnsi"/>
          <w:b/>
          <w:sz w:val="28"/>
          <w:szCs w:val="28"/>
        </w:rPr>
        <w:t xml:space="preserve"> </w:t>
      </w:r>
      <w:r w:rsidR="004B05DF" w:rsidRPr="008A34F8">
        <w:rPr>
          <w:rFonts w:cstheme="minorHAnsi"/>
          <w:b/>
          <w:sz w:val="28"/>
          <w:szCs w:val="28"/>
        </w:rPr>
        <w:t>(</w:t>
      </w:r>
      <w:r w:rsidR="007A432D" w:rsidRPr="008A34F8">
        <w:rPr>
          <w:rFonts w:cstheme="minorHAnsi"/>
          <w:b/>
          <w:i/>
          <w:iCs/>
          <w:sz w:val="28"/>
          <w:szCs w:val="28"/>
        </w:rPr>
        <w:t>Kajikia audax</w:t>
      </w:r>
      <w:r w:rsidR="007A432D" w:rsidRPr="008A34F8">
        <w:rPr>
          <w:rFonts w:cstheme="minorHAnsi"/>
          <w:b/>
          <w:sz w:val="28"/>
          <w:szCs w:val="28"/>
        </w:rPr>
        <w:t>)</w:t>
      </w:r>
    </w:p>
    <w:p w14:paraId="2BE72FA1" w14:textId="77777777" w:rsidR="00BC2B9E" w:rsidRPr="008A34F8" w:rsidRDefault="00BC2B9E" w:rsidP="000A3F2E">
      <w:pPr>
        <w:adjustRightInd w:val="0"/>
        <w:snapToGrid w:val="0"/>
        <w:spacing w:after="0" w:line="240" w:lineRule="auto"/>
        <w:jc w:val="center"/>
        <w:rPr>
          <w:rFonts w:cstheme="minorHAnsi"/>
          <w:caps/>
          <w:szCs w:val="28"/>
        </w:rPr>
      </w:pPr>
    </w:p>
    <w:p w14:paraId="78F6D454" w14:textId="43D05F5C" w:rsidR="004B05DF" w:rsidRPr="008A34F8" w:rsidRDefault="004B05DF" w:rsidP="000A3F2E">
      <w:pPr>
        <w:adjustRightInd w:val="0"/>
        <w:snapToGrid w:val="0"/>
        <w:spacing w:after="0" w:line="240" w:lineRule="auto"/>
        <w:jc w:val="center"/>
        <w:rPr>
          <w:rFonts w:cstheme="minorHAnsi"/>
          <w:caps/>
          <w:szCs w:val="28"/>
        </w:rPr>
      </w:pPr>
      <w:r w:rsidRPr="008A34F8">
        <w:rPr>
          <w:rFonts w:cstheme="minorHAnsi"/>
          <w:caps/>
          <w:szCs w:val="28"/>
        </w:rPr>
        <w:t xml:space="preserve">Stock Status </w:t>
      </w:r>
      <w:r w:rsidR="000A3F2E" w:rsidRPr="008A34F8">
        <w:rPr>
          <w:rFonts w:cstheme="minorHAnsi"/>
          <w:caps/>
          <w:szCs w:val="28"/>
        </w:rPr>
        <w:t>and</w:t>
      </w:r>
      <w:r w:rsidRPr="008A34F8">
        <w:rPr>
          <w:rFonts w:cstheme="minorHAnsi"/>
          <w:caps/>
          <w:szCs w:val="28"/>
        </w:rPr>
        <w:t xml:space="preserve"> Management Advice</w:t>
      </w:r>
    </w:p>
    <w:p w14:paraId="303C9B05" w14:textId="172821FF" w:rsidR="004B05DF" w:rsidRPr="008A34F8" w:rsidRDefault="004B05DF" w:rsidP="000A3F2E">
      <w:pPr>
        <w:adjustRightInd w:val="0"/>
        <w:snapToGrid w:val="0"/>
        <w:spacing w:after="0" w:line="240" w:lineRule="auto"/>
        <w:rPr>
          <w:rFonts w:cstheme="minorHAnsi"/>
          <w:b/>
        </w:rPr>
      </w:pPr>
    </w:p>
    <w:p w14:paraId="79ACED8E" w14:textId="3FA658AE" w:rsidR="00BC2B9E" w:rsidRPr="008A34F8" w:rsidRDefault="00BC2B9E" w:rsidP="000A3F2E">
      <w:pPr>
        <w:adjustRightInd w:val="0"/>
        <w:snapToGrid w:val="0"/>
        <w:spacing w:after="0" w:line="240" w:lineRule="auto"/>
        <w:rPr>
          <w:rFonts w:cstheme="minorHAnsi"/>
          <w:b/>
        </w:rPr>
      </w:pPr>
    </w:p>
    <w:p w14:paraId="6BA4E1FA" w14:textId="2F7E1AB3" w:rsidR="00BC2B9E" w:rsidRPr="008A34F8" w:rsidRDefault="00BC2B9E" w:rsidP="000A3F2E">
      <w:pPr>
        <w:adjustRightInd w:val="0"/>
        <w:snapToGrid w:val="0"/>
        <w:spacing w:after="0" w:line="240" w:lineRule="auto"/>
        <w:rPr>
          <w:rFonts w:cstheme="minorHAnsi"/>
          <w:b/>
        </w:rPr>
      </w:pPr>
    </w:p>
    <w:p w14:paraId="13D307A4" w14:textId="21D8E46A" w:rsidR="00BC2B9E" w:rsidRPr="008A34F8" w:rsidRDefault="00BC2B9E" w:rsidP="000A3F2E">
      <w:pPr>
        <w:adjustRightInd w:val="0"/>
        <w:snapToGrid w:val="0"/>
        <w:spacing w:after="0" w:line="240" w:lineRule="auto"/>
        <w:rPr>
          <w:rFonts w:cstheme="minorHAnsi"/>
          <w:b/>
        </w:rPr>
      </w:pPr>
    </w:p>
    <w:p w14:paraId="18BF7513" w14:textId="03FB2715" w:rsidR="00BC2B9E" w:rsidRPr="008A34F8" w:rsidRDefault="00BC2B9E" w:rsidP="000A3F2E">
      <w:pPr>
        <w:adjustRightInd w:val="0"/>
        <w:snapToGrid w:val="0"/>
        <w:spacing w:after="0" w:line="240" w:lineRule="auto"/>
        <w:rPr>
          <w:rFonts w:cstheme="minorHAnsi"/>
          <w:b/>
        </w:rPr>
      </w:pPr>
    </w:p>
    <w:p w14:paraId="5517078D" w14:textId="6F898B87" w:rsidR="00BC2B9E" w:rsidRPr="008A34F8" w:rsidRDefault="00BC2B9E" w:rsidP="000A3F2E">
      <w:pPr>
        <w:adjustRightInd w:val="0"/>
        <w:snapToGrid w:val="0"/>
        <w:spacing w:after="0" w:line="240" w:lineRule="auto"/>
        <w:rPr>
          <w:rFonts w:cstheme="minorHAnsi"/>
          <w:b/>
        </w:rPr>
      </w:pPr>
    </w:p>
    <w:p w14:paraId="0ABABC0C" w14:textId="38CCD188" w:rsidR="00BC2B9E" w:rsidRPr="008A34F8" w:rsidRDefault="00BC2B9E" w:rsidP="000A3F2E">
      <w:pPr>
        <w:adjustRightInd w:val="0"/>
        <w:snapToGrid w:val="0"/>
        <w:spacing w:after="0" w:line="240" w:lineRule="auto"/>
        <w:rPr>
          <w:rFonts w:cstheme="minorHAnsi"/>
          <w:b/>
        </w:rPr>
      </w:pPr>
    </w:p>
    <w:p w14:paraId="248F1896" w14:textId="20AF0597" w:rsidR="00BC2B9E" w:rsidRPr="008A34F8" w:rsidRDefault="00BC2B9E" w:rsidP="000A3F2E">
      <w:pPr>
        <w:adjustRightInd w:val="0"/>
        <w:snapToGrid w:val="0"/>
        <w:spacing w:after="0" w:line="240" w:lineRule="auto"/>
        <w:rPr>
          <w:rFonts w:cstheme="minorHAnsi"/>
          <w:b/>
        </w:rPr>
      </w:pPr>
    </w:p>
    <w:p w14:paraId="75763630" w14:textId="5309C274" w:rsidR="00BC2B9E" w:rsidRPr="008A34F8" w:rsidRDefault="00BC2B9E" w:rsidP="000A3F2E">
      <w:pPr>
        <w:adjustRightInd w:val="0"/>
        <w:snapToGrid w:val="0"/>
        <w:spacing w:after="0" w:line="240" w:lineRule="auto"/>
        <w:rPr>
          <w:rFonts w:cstheme="minorHAnsi"/>
          <w:b/>
        </w:rPr>
      </w:pPr>
    </w:p>
    <w:p w14:paraId="3875AF16" w14:textId="77777777" w:rsidR="00BC2B9E" w:rsidRPr="008A34F8" w:rsidRDefault="00BC2B9E" w:rsidP="000A3F2E">
      <w:pPr>
        <w:adjustRightInd w:val="0"/>
        <w:snapToGrid w:val="0"/>
        <w:spacing w:after="0" w:line="240" w:lineRule="auto"/>
        <w:rPr>
          <w:rFonts w:cstheme="minorHAnsi"/>
          <w:b/>
        </w:rPr>
      </w:pPr>
    </w:p>
    <w:sdt>
      <w:sdtPr>
        <w:rPr>
          <w:rFonts w:asciiTheme="minorHAnsi" w:eastAsiaTheme="minorHAnsi" w:hAnsiTheme="minorHAnsi" w:cstheme="minorHAnsi"/>
          <w:color w:val="auto"/>
          <w:sz w:val="22"/>
          <w:szCs w:val="22"/>
        </w:rPr>
        <w:id w:val="-1203621396"/>
        <w:docPartObj>
          <w:docPartGallery w:val="Table of Contents"/>
          <w:docPartUnique/>
        </w:docPartObj>
      </w:sdtPr>
      <w:sdtEndPr>
        <w:rPr>
          <w:b/>
          <w:bCs/>
          <w:noProof/>
        </w:rPr>
      </w:sdtEndPr>
      <w:sdtContent>
        <w:p w14:paraId="2013D613" w14:textId="77777777" w:rsidR="004B05DF" w:rsidRPr="008A34F8" w:rsidRDefault="004B05DF" w:rsidP="004403A2">
          <w:pPr>
            <w:pStyle w:val="TOCHeading"/>
            <w:adjustRightInd w:val="0"/>
            <w:snapToGrid w:val="0"/>
            <w:spacing w:before="0" w:after="240" w:line="240" w:lineRule="auto"/>
            <w:rPr>
              <w:rFonts w:asciiTheme="minorHAnsi" w:hAnsiTheme="minorHAnsi" w:cstheme="minorHAnsi"/>
              <w:b/>
              <w:bCs/>
              <w:sz w:val="28"/>
              <w:szCs w:val="28"/>
            </w:rPr>
          </w:pPr>
          <w:r w:rsidRPr="008A34F8">
            <w:rPr>
              <w:rFonts w:asciiTheme="minorHAnsi" w:hAnsiTheme="minorHAnsi" w:cstheme="minorHAnsi"/>
              <w:b/>
              <w:bCs/>
              <w:sz w:val="28"/>
              <w:szCs w:val="28"/>
            </w:rPr>
            <w:t>Contents</w:t>
          </w:r>
        </w:p>
        <w:p w14:paraId="6B8E89B9" w14:textId="55600E19" w:rsidR="006E3570" w:rsidRPr="006E3570" w:rsidRDefault="004B05DF" w:rsidP="006E3570">
          <w:pPr>
            <w:pStyle w:val="TOC1"/>
            <w:tabs>
              <w:tab w:val="right" w:leader="dot" w:pos="9350"/>
            </w:tabs>
            <w:rPr>
              <w:rFonts w:eastAsiaTheme="minorEastAsia"/>
              <w:noProof/>
              <w:kern w:val="2"/>
              <w:sz w:val="24"/>
              <w:szCs w:val="24"/>
              <w14:ligatures w14:val="standardContextual"/>
            </w:rPr>
          </w:pPr>
          <w:r w:rsidRPr="008A34F8">
            <w:rPr>
              <w:rFonts w:cstheme="minorHAnsi"/>
            </w:rPr>
            <w:fldChar w:fldCharType="begin"/>
          </w:r>
          <w:r w:rsidRPr="008A34F8">
            <w:rPr>
              <w:rFonts w:cstheme="minorHAnsi"/>
            </w:rPr>
            <w:instrText xml:space="preserve"> TOC \o "1-3" \h \z \u </w:instrText>
          </w:r>
          <w:r w:rsidRPr="008A34F8">
            <w:rPr>
              <w:rFonts w:cstheme="minorHAnsi"/>
            </w:rPr>
            <w:fldChar w:fldCharType="separate"/>
          </w:r>
          <w:hyperlink w:anchor="_Toc214283715" w:history="1">
            <w:r w:rsidR="006E3570" w:rsidRPr="00EC11F1">
              <w:rPr>
                <w:rStyle w:val="Hyperlink"/>
                <w:rFonts w:cstheme="minorHAnsi"/>
                <w:b/>
                <w:bCs/>
                <w:noProof/>
              </w:rPr>
              <w:t>SC21 2025 (STOCK ASSESSMENT CONDUCTED)</w:t>
            </w:r>
            <w:r w:rsidR="006E3570">
              <w:rPr>
                <w:noProof/>
                <w:webHidden/>
              </w:rPr>
              <w:tab/>
            </w:r>
            <w:r w:rsidR="006E3570">
              <w:rPr>
                <w:noProof/>
                <w:webHidden/>
              </w:rPr>
              <w:fldChar w:fldCharType="begin"/>
            </w:r>
            <w:r w:rsidR="006E3570">
              <w:rPr>
                <w:noProof/>
                <w:webHidden/>
              </w:rPr>
              <w:instrText xml:space="preserve"> PAGEREF _Toc214283715 \h </w:instrText>
            </w:r>
            <w:r w:rsidR="006E3570">
              <w:rPr>
                <w:noProof/>
                <w:webHidden/>
              </w:rPr>
            </w:r>
            <w:r w:rsidR="006E3570">
              <w:rPr>
                <w:noProof/>
                <w:webHidden/>
              </w:rPr>
              <w:fldChar w:fldCharType="separate"/>
            </w:r>
            <w:r w:rsidR="006E3570">
              <w:rPr>
                <w:noProof/>
                <w:webHidden/>
              </w:rPr>
              <w:t>2</w:t>
            </w:r>
            <w:r w:rsidR="006E3570">
              <w:rPr>
                <w:noProof/>
                <w:webHidden/>
              </w:rPr>
              <w:fldChar w:fldCharType="end"/>
            </w:r>
          </w:hyperlink>
        </w:p>
        <w:p w14:paraId="56467BB6" w14:textId="35BBD004" w:rsidR="006E3570" w:rsidRDefault="006E3570">
          <w:pPr>
            <w:pStyle w:val="TOC1"/>
            <w:tabs>
              <w:tab w:val="right" w:leader="dot" w:pos="9350"/>
            </w:tabs>
            <w:rPr>
              <w:rFonts w:eastAsiaTheme="minorEastAsia"/>
              <w:noProof/>
              <w:kern w:val="2"/>
              <w:sz w:val="24"/>
              <w:szCs w:val="24"/>
              <w14:ligatures w14:val="standardContextual"/>
            </w:rPr>
          </w:pPr>
          <w:hyperlink w:anchor="_Toc214283717" w:history="1">
            <w:r w:rsidRPr="00EC11F1">
              <w:rPr>
                <w:rStyle w:val="Hyperlink"/>
                <w:rFonts w:cstheme="minorHAnsi"/>
                <w:b/>
                <w:bCs/>
                <w:noProof/>
              </w:rPr>
              <w:t>SC20 2024 (STOCK ASSESSMENT CONDUCTED)</w:t>
            </w:r>
            <w:r>
              <w:rPr>
                <w:noProof/>
                <w:webHidden/>
              </w:rPr>
              <w:tab/>
            </w:r>
            <w:r>
              <w:rPr>
                <w:noProof/>
                <w:webHidden/>
              </w:rPr>
              <w:fldChar w:fldCharType="begin"/>
            </w:r>
            <w:r>
              <w:rPr>
                <w:noProof/>
                <w:webHidden/>
              </w:rPr>
              <w:instrText xml:space="preserve"> PAGEREF _Toc214283717 \h </w:instrText>
            </w:r>
            <w:r>
              <w:rPr>
                <w:noProof/>
                <w:webHidden/>
              </w:rPr>
            </w:r>
            <w:r>
              <w:rPr>
                <w:noProof/>
                <w:webHidden/>
              </w:rPr>
              <w:fldChar w:fldCharType="separate"/>
            </w:r>
            <w:r>
              <w:rPr>
                <w:noProof/>
                <w:webHidden/>
              </w:rPr>
              <w:t>4</w:t>
            </w:r>
            <w:r>
              <w:rPr>
                <w:noProof/>
                <w:webHidden/>
              </w:rPr>
              <w:fldChar w:fldCharType="end"/>
            </w:r>
          </w:hyperlink>
        </w:p>
        <w:p w14:paraId="6904D88B" w14:textId="73B1ECD8" w:rsidR="006E3570" w:rsidRDefault="006E3570">
          <w:pPr>
            <w:pStyle w:val="TOC1"/>
            <w:tabs>
              <w:tab w:val="right" w:leader="dot" w:pos="9350"/>
            </w:tabs>
            <w:rPr>
              <w:rFonts w:eastAsiaTheme="minorEastAsia"/>
              <w:noProof/>
              <w:kern w:val="2"/>
              <w:sz w:val="24"/>
              <w:szCs w:val="24"/>
              <w14:ligatures w14:val="standardContextual"/>
            </w:rPr>
          </w:pPr>
          <w:hyperlink w:anchor="_Toc214283718" w:history="1">
            <w:r w:rsidRPr="00EC11F1">
              <w:rPr>
                <w:rStyle w:val="Hyperlink"/>
                <w:rFonts w:cstheme="minorHAnsi"/>
                <w:b/>
                <w:bCs/>
                <w:noProof/>
              </w:rPr>
              <w:t>SC16, 2020 – SC19, 2023 (NO STOCK ASSESSMENTS)</w:t>
            </w:r>
            <w:r>
              <w:rPr>
                <w:noProof/>
                <w:webHidden/>
              </w:rPr>
              <w:tab/>
            </w:r>
            <w:r>
              <w:rPr>
                <w:noProof/>
                <w:webHidden/>
              </w:rPr>
              <w:fldChar w:fldCharType="begin"/>
            </w:r>
            <w:r>
              <w:rPr>
                <w:noProof/>
                <w:webHidden/>
              </w:rPr>
              <w:instrText xml:space="preserve"> PAGEREF _Toc214283718 \h </w:instrText>
            </w:r>
            <w:r>
              <w:rPr>
                <w:noProof/>
                <w:webHidden/>
              </w:rPr>
            </w:r>
            <w:r>
              <w:rPr>
                <w:noProof/>
                <w:webHidden/>
              </w:rPr>
              <w:fldChar w:fldCharType="separate"/>
            </w:r>
            <w:r>
              <w:rPr>
                <w:noProof/>
                <w:webHidden/>
              </w:rPr>
              <w:t>5</w:t>
            </w:r>
            <w:r>
              <w:rPr>
                <w:noProof/>
                <w:webHidden/>
              </w:rPr>
              <w:fldChar w:fldCharType="end"/>
            </w:r>
          </w:hyperlink>
        </w:p>
        <w:p w14:paraId="79F44E1E" w14:textId="789EA291" w:rsidR="006E3570" w:rsidRDefault="006E3570">
          <w:pPr>
            <w:pStyle w:val="TOC1"/>
            <w:tabs>
              <w:tab w:val="right" w:leader="dot" w:pos="9350"/>
            </w:tabs>
            <w:rPr>
              <w:rFonts w:eastAsiaTheme="minorEastAsia"/>
              <w:noProof/>
              <w:kern w:val="2"/>
              <w:sz w:val="24"/>
              <w:szCs w:val="24"/>
              <w14:ligatures w14:val="standardContextual"/>
            </w:rPr>
          </w:pPr>
          <w:hyperlink w:anchor="_Toc214283719" w:history="1">
            <w:r w:rsidRPr="00EC11F1">
              <w:rPr>
                <w:rStyle w:val="Hyperlink"/>
                <w:rFonts w:cstheme="minorHAnsi"/>
                <w:b/>
                <w:bCs/>
                <w:noProof/>
              </w:rPr>
              <w:t>SC15 2019 (STOCK ASSESSMENT CONDUCTED)</w:t>
            </w:r>
            <w:r>
              <w:rPr>
                <w:noProof/>
                <w:webHidden/>
              </w:rPr>
              <w:tab/>
            </w:r>
            <w:r>
              <w:rPr>
                <w:noProof/>
                <w:webHidden/>
              </w:rPr>
              <w:fldChar w:fldCharType="begin"/>
            </w:r>
            <w:r>
              <w:rPr>
                <w:noProof/>
                <w:webHidden/>
              </w:rPr>
              <w:instrText xml:space="preserve"> PAGEREF _Toc214283719 \h </w:instrText>
            </w:r>
            <w:r>
              <w:rPr>
                <w:noProof/>
                <w:webHidden/>
              </w:rPr>
            </w:r>
            <w:r>
              <w:rPr>
                <w:noProof/>
                <w:webHidden/>
              </w:rPr>
              <w:fldChar w:fldCharType="separate"/>
            </w:r>
            <w:r>
              <w:rPr>
                <w:noProof/>
                <w:webHidden/>
              </w:rPr>
              <w:t>5</w:t>
            </w:r>
            <w:r>
              <w:rPr>
                <w:noProof/>
                <w:webHidden/>
              </w:rPr>
              <w:fldChar w:fldCharType="end"/>
            </w:r>
          </w:hyperlink>
        </w:p>
        <w:p w14:paraId="2C65DE3E" w14:textId="4FEB1DC3" w:rsidR="006E3570" w:rsidRDefault="006E3570">
          <w:pPr>
            <w:pStyle w:val="TOC1"/>
            <w:tabs>
              <w:tab w:val="right" w:leader="dot" w:pos="9350"/>
            </w:tabs>
            <w:rPr>
              <w:rFonts w:eastAsiaTheme="minorEastAsia"/>
              <w:noProof/>
              <w:kern w:val="2"/>
              <w:sz w:val="24"/>
              <w:szCs w:val="24"/>
              <w14:ligatures w14:val="standardContextual"/>
            </w:rPr>
          </w:pPr>
          <w:hyperlink w:anchor="_Toc214283720" w:history="1">
            <w:r w:rsidRPr="00EC11F1">
              <w:rPr>
                <w:rStyle w:val="Hyperlink"/>
                <w:rFonts w:cstheme="minorHAnsi"/>
                <w:b/>
                <w:bCs/>
                <w:noProof/>
              </w:rPr>
              <w:t>SC9, 2013 – SC14, 2018 (NO STOCK ASSESSMENTS)</w:t>
            </w:r>
            <w:r>
              <w:rPr>
                <w:noProof/>
                <w:webHidden/>
              </w:rPr>
              <w:tab/>
            </w:r>
            <w:r>
              <w:rPr>
                <w:noProof/>
                <w:webHidden/>
              </w:rPr>
              <w:fldChar w:fldCharType="begin"/>
            </w:r>
            <w:r>
              <w:rPr>
                <w:noProof/>
                <w:webHidden/>
              </w:rPr>
              <w:instrText xml:space="preserve"> PAGEREF _Toc214283720 \h </w:instrText>
            </w:r>
            <w:r>
              <w:rPr>
                <w:noProof/>
                <w:webHidden/>
              </w:rPr>
            </w:r>
            <w:r>
              <w:rPr>
                <w:noProof/>
                <w:webHidden/>
              </w:rPr>
              <w:fldChar w:fldCharType="separate"/>
            </w:r>
            <w:r>
              <w:rPr>
                <w:noProof/>
                <w:webHidden/>
              </w:rPr>
              <w:t>10</w:t>
            </w:r>
            <w:r>
              <w:rPr>
                <w:noProof/>
                <w:webHidden/>
              </w:rPr>
              <w:fldChar w:fldCharType="end"/>
            </w:r>
          </w:hyperlink>
        </w:p>
        <w:p w14:paraId="5B0BC86A" w14:textId="2F12B467" w:rsidR="006E3570" w:rsidRDefault="006E3570">
          <w:pPr>
            <w:pStyle w:val="TOC1"/>
            <w:tabs>
              <w:tab w:val="right" w:leader="dot" w:pos="9350"/>
            </w:tabs>
            <w:rPr>
              <w:rFonts w:eastAsiaTheme="minorEastAsia"/>
              <w:noProof/>
              <w:kern w:val="2"/>
              <w:sz w:val="24"/>
              <w:szCs w:val="24"/>
              <w14:ligatures w14:val="standardContextual"/>
            </w:rPr>
          </w:pPr>
          <w:hyperlink w:anchor="_Toc214283721" w:history="1">
            <w:r w:rsidRPr="00EC11F1">
              <w:rPr>
                <w:rStyle w:val="Hyperlink"/>
                <w:rFonts w:eastAsia="MS Mincho" w:cstheme="minorHAnsi"/>
                <w:b/>
                <w:bCs/>
                <w:caps/>
                <w:noProof/>
                <w:lang w:val="en-NZ" w:eastAsia="en-NZ"/>
              </w:rPr>
              <w:t>Useful References</w:t>
            </w:r>
            <w:r>
              <w:rPr>
                <w:noProof/>
                <w:webHidden/>
              </w:rPr>
              <w:tab/>
            </w:r>
            <w:r>
              <w:rPr>
                <w:noProof/>
                <w:webHidden/>
              </w:rPr>
              <w:fldChar w:fldCharType="begin"/>
            </w:r>
            <w:r>
              <w:rPr>
                <w:noProof/>
                <w:webHidden/>
              </w:rPr>
              <w:instrText xml:space="preserve"> PAGEREF _Toc214283721 \h </w:instrText>
            </w:r>
            <w:r>
              <w:rPr>
                <w:noProof/>
                <w:webHidden/>
              </w:rPr>
            </w:r>
            <w:r>
              <w:rPr>
                <w:noProof/>
                <w:webHidden/>
              </w:rPr>
              <w:fldChar w:fldCharType="separate"/>
            </w:r>
            <w:r>
              <w:rPr>
                <w:noProof/>
                <w:webHidden/>
              </w:rPr>
              <w:t>12</w:t>
            </w:r>
            <w:r>
              <w:rPr>
                <w:noProof/>
                <w:webHidden/>
              </w:rPr>
              <w:fldChar w:fldCharType="end"/>
            </w:r>
          </w:hyperlink>
        </w:p>
        <w:p w14:paraId="6E1466D1" w14:textId="346DF530" w:rsidR="006E3570" w:rsidRDefault="006E3570">
          <w:pPr>
            <w:pStyle w:val="TOC1"/>
            <w:tabs>
              <w:tab w:val="right" w:leader="dot" w:pos="9350"/>
            </w:tabs>
            <w:rPr>
              <w:rFonts w:eastAsiaTheme="minorEastAsia"/>
              <w:noProof/>
              <w:kern w:val="2"/>
              <w:sz w:val="24"/>
              <w:szCs w:val="24"/>
              <w14:ligatures w14:val="standardContextual"/>
            </w:rPr>
          </w:pPr>
          <w:hyperlink w:anchor="_Toc214283722" w:history="1">
            <w:r w:rsidRPr="00EC11F1">
              <w:rPr>
                <w:rStyle w:val="Hyperlink"/>
                <w:rFonts w:eastAsia="MS Mincho" w:cstheme="minorHAnsi"/>
                <w:b/>
                <w:bCs/>
                <w:caps/>
                <w:noProof/>
                <w:lang w:val="en-NZ" w:eastAsia="en-NZ"/>
              </w:rPr>
              <w:t>Previous Assessments</w:t>
            </w:r>
            <w:r>
              <w:rPr>
                <w:noProof/>
                <w:webHidden/>
              </w:rPr>
              <w:tab/>
            </w:r>
            <w:r>
              <w:rPr>
                <w:noProof/>
                <w:webHidden/>
              </w:rPr>
              <w:fldChar w:fldCharType="begin"/>
            </w:r>
            <w:r>
              <w:rPr>
                <w:noProof/>
                <w:webHidden/>
              </w:rPr>
              <w:instrText xml:space="preserve"> PAGEREF _Toc214283722 \h </w:instrText>
            </w:r>
            <w:r>
              <w:rPr>
                <w:noProof/>
                <w:webHidden/>
              </w:rPr>
            </w:r>
            <w:r>
              <w:rPr>
                <w:noProof/>
                <w:webHidden/>
              </w:rPr>
              <w:fldChar w:fldCharType="separate"/>
            </w:r>
            <w:r>
              <w:rPr>
                <w:noProof/>
                <w:webHidden/>
              </w:rPr>
              <w:t>12</w:t>
            </w:r>
            <w:r>
              <w:rPr>
                <w:noProof/>
                <w:webHidden/>
              </w:rPr>
              <w:fldChar w:fldCharType="end"/>
            </w:r>
          </w:hyperlink>
        </w:p>
        <w:p w14:paraId="58E8500B" w14:textId="1FB957BD" w:rsidR="004B05DF" w:rsidRPr="008A34F8" w:rsidRDefault="004B05DF" w:rsidP="004403A2">
          <w:pPr>
            <w:adjustRightInd w:val="0"/>
            <w:snapToGrid w:val="0"/>
            <w:spacing w:after="240" w:line="240" w:lineRule="auto"/>
            <w:rPr>
              <w:rFonts w:cstheme="minorHAnsi"/>
            </w:rPr>
          </w:pPr>
          <w:r w:rsidRPr="008A34F8">
            <w:rPr>
              <w:rFonts w:cstheme="minorHAnsi"/>
              <w:b/>
              <w:bCs/>
              <w:noProof/>
            </w:rPr>
            <w:fldChar w:fldCharType="end"/>
          </w:r>
        </w:p>
      </w:sdtContent>
    </w:sdt>
    <w:p w14:paraId="2E73F6ED" w14:textId="77777777" w:rsidR="000A3F2E" w:rsidRPr="008A34F8" w:rsidRDefault="000A3F2E" w:rsidP="000A3F2E">
      <w:pPr>
        <w:adjustRightInd w:val="0"/>
        <w:snapToGrid w:val="0"/>
        <w:spacing w:after="0" w:line="240" w:lineRule="auto"/>
        <w:rPr>
          <w:rFonts w:eastAsiaTheme="majorEastAsia" w:cstheme="minorHAnsi"/>
          <w:color w:val="2F5496" w:themeColor="accent1" w:themeShade="BF"/>
          <w:sz w:val="32"/>
          <w:szCs w:val="32"/>
        </w:rPr>
      </w:pPr>
      <w:r w:rsidRPr="008A34F8">
        <w:rPr>
          <w:rFonts w:cstheme="minorHAnsi"/>
        </w:rPr>
        <w:br w:type="page"/>
      </w:r>
    </w:p>
    <w:p w14:paraId="554DF408" w14:textId="33251628" w:rsidR="00030B68" w:rsidRDefault="00030B68" w:rsidP="008B4B3C">
      <w:pPr>
        <w:pStyle w:val="Heading1"/>
        <w:adjustRightInd w:val="0"/>
        <w:snapToGrid w:val="0"/>
        <w:spacing w:before="0" w:line="240" w:lineRule="auto"/>
        <w:rPr>
          <w:rFonts w:asciiTheme="minorHAnsi" w:hAnsiTheme="minorHAnsi" w:cstheme="minorHAnsi"/>
          <w:b/>
          <w:bCs/>
        </w:rPr>
      </w:pPr>
      <w:bookmarkStart w:id="0" w:name="_Toc214283715"/>
      <w:r w:rsidRPr="008A34F8">
        <w:rPr>
          <w:rFonts w:asciiTheme="minorHAnsi" w:hAnsiTheme="minorHAnsi" w:cstheme="minorHAnsi"/>
          <w:b/>
          <w:bCs/>
        </w:rPr>
        <w:lastRenderedPageBreak/>
        <w:t>SC2</w:t>
      </w:r>
      <w:r>
        <w:rPr>
          <w:rFonts w:asciiTheme="minorHAnsi" w:hAnsiTheme="minorHAnsi" w:cstheme="minorHAnsi"/>
          <w:b/>
          <w:bCs/>
        </w:rPr>
        <w:t>1</w:t>
      </w:r>
      <w:r w:rsidRPr="008A34F8">
        <w:rPr>
          <w:rFonts w:asciiTheme="minorHAnsi" w:hAnsiTheme="minorHAnsi" w:cstheme="minorHAnsi"/>
          <w:b/>
          <w:bCs/>
        </w:rPr>
        <w:t xml:space="preserve"> 202</w:t>
      </w:r>
      <w:r>
        <w:rPr>
          <w:rFonts w:asciiTheme="minorHAnsi" w:hAnsiTheme="minorHAnsi" w:cstheme="minorHAnsi"/>
          <w:b/>
          <w:bCs/>
        </w:rPr>
        <w:t>5</w:t>
      </w:r>
      <w:r w:rsidRPr="008A34F8">
        <w:rPr>
          <w:rFonts w:asciiTheme="minorHAnsi" w:hAnsiTheme="minorHAnsi" w:cstheme="minorHAnsi"/>
          <w:b/>
          <w:bCs/>
        </w:rPr>
        <w:t xml:space="preserve"> (STOCK ASSESSMENT CONDUCTED)</w:t>
      </w:r>
      <w:bookmarkEnd w:id="0"/>
    </w:p>
    <w:p w14:paraId="3B2D467A" w14:textId="77777777" w:rsidR="008B4B3C" w:rsidRDefault="008B4B3C" w:rsidP="008B4B3C">
      <w:pPr>
        <w:pStyle w:val="SC3"/>
        <w:numPr>
          <w:ilvl w:val="0"/>
          <w:numId w:val="0"/>
        </w:numPr>
        <w:spacing w:after="0"/>
        <w:rPr>
          <w:rFonts w:eastAsia="Batang" w:cs="Calibri"/>
          <w:lang w:eastAsia="ko-KR"/>
        </w:rPr>
      </w:pPr>
    </w:p>
    <w:p w14:paraId="3EC76EE9" w14:textId="7F96EE25" w:rsidR="008B4B3C" w:rsidRPr="008B4B3C" w:rsidRDefault="008B4B3C" w:rsidP="008B4B3C">
      <w:pPr>
        <w:pStyle w:val="SC3"/>
        <w:numPr>
          <w:ilvl w:val="0"/>
          <w:numId w:val="0"/>
        </w:numPr>
        <w:spacing w:after="0"/>
        <w:rPr>
          <w:rFonts w:eastAsia="Batang" w:cs="Calibri"/>
          <w:lang w:eastAsia="ko-KR"/>
        </w:rPr>
      </w:pPr>
      <w:bookmarkStart w:id="1" w:name="_Toc214283716"/>
      <w:r w:rsidRPr="008A5334">
        <w:rPr>
          <w:rFonts w:eastAsia="Batang" w:cs="Calibri"/>
          <w:lang w:eastAsia="ko-KR"/>
        </w:rPr>
        <w:t>Southwest Pacific striped marlin (</w:t>
      </w:r>
      <w:proofErr w:type="spellStart"/>
      <w:r w:rsidRPr="008A5334">
        <w:rPr>
          <w:rFonts w:eastAsia="Batang" w:cs="Calibri"/>
          <w:i/>
          <w:iCs/>
          <w:lang w:eastAsia="ko-KR"/>
        </w:rPr>
        <w:t>Kajikia</w:t>
      </w:r>
      <w:proofErr w:type="spellEnd"/>
      <w:r w:rsidRPr="008A5334">
        <w:rPr>
          <w:rFonts w:eastAsia="Batang" w:cs="Calibri"/>
          <w:i/>
          <w:iCs/>
          <w:lang w:eastAsia="ko-KR"/>
        </w:rPr>
        <w:t xml:space="preserve"> audax</w:t>
      </w:r>
      <w:r w:rsidRPr="008A5334">
        <w:rPr>
          <w:rFonts w:eastAsia="Batang" w:cs="Calibri"/>
          <w:lang w:eastAsia="ko-KR"/>
        </w:rPr>
        <w:t>)</w:t>
      </w:r>
      <w:r>
        <w:rPr>
          <w:rFonts w:eastAsia="Batang" w:cs="Calibri"/>
          <w:lang w:eastAsia="ko-KR"/>
        </w:rPr>
        <w:t xml:space="preserve"> s</w:t>
      </w:r>
      <w:r w:rsidRPr="008A5334">
        <w:rPr>
          <w:rFonts w:eastAsia="Batang" w:cs="Calibri"/>
          <w:bCs/>
          <w:lang w:eastAsia="ko-KR"/>
        </w:rPr>
        <w:t>tock assessment</w:t>
      </w:r>
      <w:bookmarkEnd w:id="1"/>
      <w:r w:rsidRPr="008A5334">
        <w:rPr>
          <w:rFonts w:eastAsia="Batang" w:cs="Calibri"/>
          <w:bCs/>
          <w:lang w:eastAsia="ko-KR"/>
        </w:rPr>
        <w:t xml:space="preserve"> </w:t>
      </w:r>
    </w:p>
    <w:p w14:paraId="03F6A4C2" w14:textId="77777777" w:rsidR="008B4B3C" w:rsidRPr="008A5334" w:rsidRDefault="008B4B3C" w:rsidP="008B4B3C">
      <w:pPr>
        <w:pStyle w:val="SCtext"/>
        <w:ind w:left="0" w:firstLine="0"/>
        <w:rPr>
          <w:rFonts w:cs="Calibri"/>
        </w:rPr>
      </w:pPr>
      <w:bookmarkStart w:id="2" w:name="_Hlk197502608"/>
    </w:p>
    <w:p w14:paraId="281B5E3A"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cs="Calibri"/>
        </w:rPr>
        <w:t xml:space="preserve">SC21 thanked the SSP and the collaborative contribution (as supported by SC20) from the NOAA Pacific Islands Fisheries Science </w:t>
      </w:r>
      <w:proofErr w:type="spellStart"/>
      <w:r w:rsidRPr="008A5334">
        <w:rPr>
          <w:rFonts w:cs="Calibri"/>
        </w:rPr>
        <w:t>Center</w:t>
      </w:r>
      <w:proofErr w:type="spellEnd"/>
      <w:r w:rsidRPr="008A5334">
        <w:rPr>
          <w:rFonts w:cs="Calibri"/>
        </w:rPr>
        <w:t xml:space="preserve">, for their thorough work conducted on the revision of the Southwest Pacific striped marlin stock assessment and considerable efforts to improve the assessment, particularly by providing multiple model frameworks to consider, and working with CCMs to address the concerns raised about the assessment at SC20. Individual working papers were presented for both assessment approaches. SC21 noted that the model outcomes presented were reasonably consistent with previous stock assessment results and with each other. However, there were remaining issues with the integrated assessment (moved from </w:t>
      </w:r>
      <w:proofErr w:type="spellStart"/>
      <w:r w:rsidRPr="008A5334">
        <w:rPr>
          <w:rFonts w:cs="Calibri"/>
        </w:rPr>
        <w:t>Multifan</w:t>
      </w:r>
      <w:proofErr w:type="spellEnd"/>
      <w:r w:rsidRPr="008A5334">
        <w:rPr>
          <w:rFonts w:cs="Calibri"/>
        </w:rPr>
        <w:t xml:space="preserve">-CL to Stock Synthesis 3) that could not be resolved in the time available. The alternative Bayesian Surplus Production Model (BPSM) was proposed as a simpler, more robust model for management advice that more appropriately characterized the assessment uncertainty.  </w:t>
      </w:r>
    </w:p>
    <w:p w14:paraId="3CFA8FF1" w14:textId="77777777" w:rsidR="008B4B3C" w:rsidRPr="008A5334" w:rsidRDefault="008B4B3C" w:rsidP="008B4B3C">
      <w:pPr>
        <w:pStyle w:val="SCtext"/>
        <w:ind w:left="0" w:firstLine="0"/>
        <w:rPr>
          <w:rFonts w:cs="Calibri"/>
        </w:rPr>
      </w:pPr>
    </w:p>
    <w:p w14:paraId="7370E538" w14:textId="77777777" w:rsidR="008B4B3C" w:rsidRPr="007872F0" w:rsidRDefault="008B4B3C" w:rsidP="008B4B3C">
      <w:pPr>
        <w:pStyle w:val="SCtext"/>
        <w:widowControl w:val="0"/>
        <w:numPr>
          <w:ilvl w:val="0"/>
          <w:numId w:val="2"/>
        </w:numPr>
        <w:kinsoku w:val="0"/>
        <w:overflowPunct w:val="0"/>
        <w:ind w:left="0" w:firstLine="0"/>
        <w:rPr>
          <w:rFonts w:cs="Calibri"/>
          <w:b/>
          <w:bCs/>
          <w:spacing w:val="-2"/>
        </w:rPr>
      </w:pPr>
      <w:r w:rsidRPr="007872F0">
        <w:rPr>
          <w:rFonts w:cs="Calibri"/>
          <w:b/>
          <w:bCs/>
          <w:spacing w:val="-2"/>
        </w:rPr>
        <w:t>SC21 recommended that stock status and management advice be based upon the Bayesian surplus production model (BSPM) results as the most parsimonious and robust assessment presented for the SW Pacific MLS stock. As such, the summary text, figures, and tables below are based on the BSPM.</w:t>
      </w:r>
    </w:p>
    <w:p w14:paraId="4D1678EC" w14:textId="77777777" w:rsidR="008B4B3C" w:rsidRPr="008A5334" w:rsidRDefault="008B4B3C" w:rsidP="008B4B3C">
      <w:pPr>
        <w:spacing w:after="0" w:line="240" w:lineRule="auto"/>
        <w:rPr>
          <w:rFonts w:eastAsiaTheme="minorEastAsia" w:cs="Calibri"/>
          <w:lang w:val="en-AU" w:eastAsia="ko-KR"/>
        </w:rPr>
      </w:pPr>
    </w:p>
    <w:bookmarkEnd w:id="2"/>
    <w:p w14:paraId="7229DF02" w14:textId="77777777" w:rsidR="008B4B3C" w:rsidRPr="008A5334" w:rsidRDefault="008B4B3C" w:rsidP="008B4B3C">
      <w:pPr>
        <w:pStyle w:val="ListParagraph"/>
        <w:widowControl w:val="0"/>
        <w:kinsoku w:val="0"/>
        <w:overflowPunct w:val="0"/>
        <w:autoSpaceDE w:val="0"/>
        <w:autoSpaceDN w:val="0"/>
        <w:adjustRightInd w:val="0"/>
        <w:snapToGrid w:val="0"/>
        <w:ind w:left="0" w:firstLine="0"/>
        <w:contextualSpacing w:val="0"/>
        <w:rPr>
          <w:rFonts w:eastAsia="Batang" w:cs="Calibri"/>
          <w:b/>
          <w:bCs/>
          <w:lang w:eastAsia="ko-KR"/>
        </w:rPr>
      </w:pPr>
      <w:r w:rsidRPr="008A5334">
        <w:rPr>
          <w:rFonts w:eastAsia="Batang" w:cs="Calibri"/>
          <w:b/>
          <w:bCs/>
          <w:lang w:eastAsia="ko-KR"/>
        </w:rPr>
        <w:t>Provision of scientific information to the Commission</w:t>
      </w:r>
    </w:p>
    <w:p w14:paraId="4B5D316F" w14:textId="77777777" w:rsidR="008B4B3C" w:rsidRPr="008A5334" w:rsidRDefault="008B4B3C" w:rsidP="008B4B3C">
      <w:pPr>
        <w:pStyle w:val="WCPFCnormal"/>
        <w:widowControl w:val="0"/>
        <w:numPr>
          <w:ilvl w:val="0"/>
          <w:numId w:val="0"/>
        </w:numPr>
        <w:adjustRightInd w:val="0"/>
        <w:snapToGrid w:val="0"/>
        <w:spacing w:after="0" w:line="240" w:lineRule="auto"/>
        <w:ind w:left="1200"/>
        <w:contextualSpacing w:val="0"/>
        <w:rPr>
          <w:rFonts w:eastAsiaTheme="minorEastAsia" w:cs="Calibri"/>
          <w:bCs/>
          <w:lang w:eastAsia="ko-KR"/>
        </w:rPr>
      </w:pPr>
    </w:p>
    <w:p w14:paraId="513E43C5" w14:textId="77777777" w:rsidR="008B4B3C" w:rsidRPr="008A5334" w:rsidRDefault="008B4B3C" w:rsidP="008B4B3C">
      <w:pPr>
        <w:pStyle w:val="ListParagraph"/>
        <w:widowControl w:val="0"/>
        <w:numPr>
          <w:ilvl w:val="0"/>
          <w:numId w:val="38"/>
        </w:numPr>
        <w:kinsoku w:val="0"/>
        <w:overflowPunct w:val="0"/>
        <w:autoSpaceDE w:val="0"/>
        <w:autoSpaceDN w:val="0"/>
        <w:adjustRightInd w:val="0"/>
        <w:snapToGrid w:val="0"/>
        <w:ind w:left="0" w:firstLine="0"/>
        <w:contextualSpacing w:val="0"/>
        <w:rPr>
          <w:rFonts w:eastAsia="Batang" w:cs="Calibri"/>
          <w:b/>
          <w:lang w:eastAsia="ko-KR"/>
        </w:rPr>
      </w:pPr>
      <w:r w:rsidRPr="008A5334">
        <w:rPr>
          <w:rFonts w:cs="Calibri"/>
          <w:b/>
        </w:rPr>
        <w:t xml:space="preserve">Stock </w:t>
      </w:r>
      <w:r w:rsidRPr="008A5334">
        <w:rPr>
          <w:rFonts w:cs="Calibri"/>
          <w:b/>
          <w:lang w:eastAsia="ko-KR"/>
        </w:rPr>
        <w:t xml:space="preserve">assessment and </w:t>
      </w:r>
      <w:r w:rsidRPr="008A5334">
        <w:rPr>
          <w:rFonts w:cs="Calibri"/>
          <w:b/>
        </w:rPr>
        <w:t xml:space="preserve">trends </w:t>
      </w:r>
    </w:p>
    <w:p w14:paraId="5CBAAB3D" w14:textId="77777777" w:rsidR="008B4B3C" w:rsidRPr="008A5334" w:rsidRDefault="008B4B3C" w:rsidP="008B4B3C">
      <w:pPr>
        <w:pStyle w:val="ListParagraph"/>
        <w:widowControl w:val="0"/>
        <w:kinsoku w:val="0"/>
        <w:overflowPunct w:val="0"/>
        <w:autoSpaceDE w:val="0"/>
        <w:autoSpaceDN w:val="0"/>
        <w:adjustRightInd w:val="0"/>
        <w:snapToGrid w:val="0"/>
        <w:ind w:left="1080"/>
        <w:rPr>
          <w:rFonts w:eastAsia="Batang" w:cs="Calibri"/>
          <w:b/>
          <w:lang w:eastAsia="ko-KR"/>
        </w:rPr>
      </w:pPr>
    </w:p>
    <w:p w14:paraId="004838BA"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cs="Calibri"/>
        </w:rPr>
        <w:t xml:space="preserve">The revision of the 2024 Southwest Pacific Ocean striped marlin stock assessment employed a multi-model approach </w:t>
      </w:r>
      <w:proofErr w:type="gramStart"/>
      <w:r w:rsidRPr="008A5334">
        <w:rPr>
          <w:rFonts w:cs="Calibri"/>
        </w:rPr>
        <w:t>in an effort to</w:t>
      </w:r>
      <w:proofErr w:type="gramEnd"/>
      <w:r w:rsidRPr="008A5334">
        <w:rPr>
          <w:rFonts w:cs="Calibri"/>
        </w:rPr>
        <w:t xml:space="preserve"> provide a robust basis for </w:t>
      </w:r>
      <w:r>
        <w:rPr>
          <w:rFonts w:cs="Calibri"/>
        </w:rPr>
        <w:t xml:space="preserve">the </w:t>
      </w:r>
      <w:r w:rsidRPr="008A5334">
        <w:rPr>
          <w:rFonts w:cs="Calibri"/>
        </w:rPr>
        <w:t>provision of management advice on stock status. During the revision work</w:t>
      </w:r>
      <w:r>
        <w:rPr>
          <w:rFonts w:cs="Calibri"/>
        </w:rPr>
        <w:t>, issues with the age-structured integrated assessment, using Stock Synthesis 3, that could not be satisfactorily resolved led to a strategic shift to a</w:t>
      </w:r>
      <w:r w:rsidRPr="008A5334">
        <w:rPr>
          <w:rFonts w:cs="Calibri"/>
        </w:rPr>
        <w:t xml:space="preserve"> data-moderate Bayesian surplus production model (BSPM). For the BSPM, the Fletcher-Schaefer production model framework was implemented in Stan using a state-space formulation where population depletion evolves according to surplus production and fishing mortality dynamics linked to effort data. This approach condenses biological and fishery assumptions</w:t>
      </w:r>
      <w:r>
        <w:rPr>
          <w:rFonts w:cs="Calibri"/>
        </w:rPr>
        <w:t>,</w:t>
      </w:r>
      <w:r w:rsidRPr="008A5334">
        <w:rPr>
          <w:rFonts w:cs="Calibri"/>
        </w:rPr>
        <w:t xml:space="preserve"> which provides a robust framework for estimating stock status and efficiently exploring uncertainties in productivity and scale. The model assumes a single, well-mixed stock (</w:t>
      </w:r>
      <w:r w:rsidRPr="008A5334">
        <w:rPr>
          <w:rFonts w:cs="Calibri"/>
          <w:b/>
          <w:bCs/>
        </w:rPr>
        <w:fldChar w:fldCharType="begin"/>
      </w:r>
      <w:r w:rsidRPr="008A5334">
        <w:rPr>
          <w:rFonts w:cs="Calibri"/>
          <w:b/>
          <w:bCs/>
        </w:rPr>
        <w:instrText xml:space="preserve"> REF _Ref206231661 \h  \* MERGEFORMAT </w:instrText>
      </w:r>
      <w:r w:rsidRPr="008A5334">
        <w:rPr>
          <w:rFonts w:cs="Calibri"/>
          <w:b/>
          <w:bCs/>
        </w:rPr>
      </w:r>
      <w:r w:rsidRPr="008A5334">
        <w:rPr>
          <w:rFonts w:cs="Calibri"/>
          <w:b/>
          <w:bCs/>
        </w:rPr>
        <w:fldChar w:fldCharType="separate"/>
      </w:r>
      <w:r w:rsidRPr="006E786C">
        <w:rPr>
          <w:rFonts w:cs="Calibri"/>
          <w:b/>
          <w:bCs/>
        </w:rPr>
        <w:t>Figure MLS-01</w:t>
      </w:r>
      <w:r w:rsidRPr="008A5334">
        <w:rPr>
          <w:rFonts w:cs="Calibri"/>
          <w:b/>
          <w:bCs/>
        </w:rPr>
        <w:fldChar w:fldCharType="end"/>
      </w:r>
      <w:r w:rsidRPr="008A5334">
        <w:rPr>
          <w:rFonts w:cs="Calibri"/>
        </w:rPr>
        <w:t>) with no population age structure and fished by a single aggregate fishery (</w:t>
      </w:r>
      <w:r w:rsidRPr="008A5334">
        <w:rPr>
          <w:rFonts w:cs="Calibri"/>
          <w:b/>
          <w:bCs/>
        </w:rPr>
        <w:fldChar w:fldCharType="begin"/>
      </w:r>
      <w:r w:rsidRPr="008A5334">
        <w:rPr>
          <w:rFonts w:cs="Calibri"/>
          <w:b/>
          <w:bCs/>
        </w:rPr>
        <w:instrText xml:space="preserve"> REF _Ref206231683 \h  \* MERGEFORMAT </w:instrText>
      </w:r>
      <w:r w:rsidRPr="008A5334">
        <w:rPr>
          <w:rFonts w:cs="Calibri"/>
          <w:b/>
          <w:bCs/>
        </w:rPr>
      </w:r>
      <w:r w:rsidRPr="008A5334">
        <w:rPr>
          <w:rFonts w:cs="Calibri"/>
          <w:b/>
          <w:bCs/>
        </w:rPr>
        <w:fldChar w:fldCharType="separate"/>
      </w:r>
      <w:r w:rsidRPr="006E786C">
        <w:rPr>
          <w:rFonts w:cs="Calibri"/>
          <w:b/>
          <w:bCs/>
        </w:rPr>
        <w:t>Table MLS-01</w:t>
      </w:r>
      <w:r w:rsidRPr="008A5334">
        <w:rPr>
          <w:rFonts w:cs="Calibri"/>
          <w:b/>
          <w:bCs/>
        </w:rPr>
        <w:fldChar w:fldCharType="end"/>
      </w:r>
      <w:r w:rsidRPr="008A5334">
        <w:rPr>
          <w:rFonts w:cs="Calibri"/>
        </w:rPr>
        <w:t>).</w:t>
      </w:r>
    </w:p>
    <w:p w14:paraId="6DB4EAD2" w14:textId="77777777" w:rsidR="008B4B3C" w:rsidRPr="008A5334" w:rsidRDefault="008B4B3C" w:rsidP="008B4B3C">
      <w:pPr>
        <w:pStyle w:val="SCtext"/>
        <w:ind w:left="0" w:firstLine="0"/>
        <w:rPr>
          <w:rFonts w:cs="Calibri"/>
        </w:rPr>
      </w:pPr>
    </w:p>
    <w:p w14:paraId="50A15D6C"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cs="Calibri"/>
        </w:rPr>
        <w:t>The assessment incorporated multiple sources of uncertainty through both model structure and parameter estimation approaches (</w:t>
      </w:r>
      <w:r w:rsidRPr="008A5334">
        <w:rPr>
          <w:rFonts w:cs="Calibri"/>
          <w:b/>
          <w:bCs/>
        </w:rPr>
        <w:fldChar w:fldCharType="begin"/>
      </w:r>
      <w:r w:rsidRPr="008A5334">
        <w:rPr>
          <w:rFonts w:cs="Calibri"/>
          <w:b/>
          <w:bCs/>
        </w:rPr>
        <w:instrText xml:space="preserve"> REF _Ref206231698 \h  \* MERGEFORMAT </w:instrText>
      </w:r>
      <w:r w:rsidRPr="008A5334">
        <w:rPr>
          <w:rFonts w:cs="Calibri"/>
          <w:b/>
          <w:bCs/>
        </w:rPr>
      </w:r>
      <w:r w:rsidRPr="008A5334">
        <w:rPr>
          <w:rFonts w:cs="Calibri"/>
          <w:b/>
          <w:bCs/>
        </w:rPr>
        <w:fldChar w:fldCharType="separate"/>
      </w:r>
      <w:r w:rsidRPr="006E786C">
        <w:rPr>
          <w:rFonts w:cs="Calibri"/>
          <w:b/>
          <w:bCs/>
        </w:rPr>
        <w:t>Table MLS-02</w:t>
      </w:r>
      <w:r w:rsidRPr="008A5334">
        <w:rPr>
          <w:rFonts w:cs="Calibri"/>
          <w:b/>
          <w:bCs/>
        </w:rPr>
        <w:fldChar w:fldCharType="end"/>
      </w:r>
      <w:r w:rsidRPr="008A5334">
        <w:rPr>
          <w:rFonts w:cs="Calibri"/>
        </w:rPr>
        <w:t xml:space="preserve">). Key uncertainties included substantial uncertainty in absolute population scale, biological parameter uncertainty in growth, maturity, natural mortality, and steepness that contributed to broad priors for maximum intrinsic rate of increase, and population scale. The model ensemble explicitly incorporated uncertainty in population trend by considering the distant water fishing nation (DWFN) and </w:t>
      </w:r>
      <w:r>
        <w:rPr>
          <w:rFonts w:cs="Calibri"/>
        </w:rPr>
        <w:t xml:space="preserve">the </w:t>
      </w:r>
      <w:r w:rsidRPr="008A5334">
        <w:rPr>
          <w:rFonts w:cs="Calibri"/>
        </w:rPr>
        <w:t xml:space="preserve">New Zealand recreational sportfish index. Alternative priors for the shape parameter, which informs the location of MSY, were also considered in the ensemble. </w:t>
      </w:r>
    </w:p>
    <w:p w14:paraId="5989C615" w14:textId="77777777" w:rsidR="008B4B3C" w:rsidRPr="008A5334" w:rsidRDefault="008B4B3C" w:rsidP="008B4B3C">
      <w:pPr>
        <w:pStyle w:val="SCtext"/>
        <w:ind w:left="0" w:firstLine="0"/>
        <w:rPr>
          <w:rFonts w:cs="Calibri"/>
        </w:rPr>
      </w:pPr>
    </w:p>
    <w:p w14:paraId="15810945"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cs="Calibri"/>
        </w:rPr>
        <w:t>Annual catches are provided from 1952</w:t>
      </w:r>
      <w:r>
        <w:rPr>
          <w:rFonts w:cs="Calibri"/>
        </w:rPr>
        <w:t xml:space="preserve"> to </w:t>
      </w:r>
      <w:r w:rsidRPr="008A5334">
        <w:rPr>
          <w:rFonts w:cs="Calibri"/>
        </w:rPr>
        <w:t>2022 (</w:t>
      </w:r>
      <w:r w:rsidRPr="008A5334">
        <w:rPr>
          <w:rFonts w:cs="Calibri"/>
          <w:b/>
          <w:bCs/>
        </w:rPr>
        <w:fldChar w:fldCharType="begin"/>
      </w:r>
      <w:r w:rsidRPr="008A5334">
        <w:rPr>
          <w:rFonts w:cs="Calibri"/>
          <w:b/>
          <w:bCs/>
        </w:rPr>
        <w:instrText xml:space="preserve"> REF _Ref206231731 \h  \* MERGEFORMAT </w:instrText>
      </w:r>
      <w:r w:rsidRPr="008A5334">
        <w:rPr>
          <w:rFonts w:cs="Calibri"/>
          <w:b/>
          <w:bCs/>
        </w:rPr>
      </w:r>
      <w:r w:rsidRPr="008A5334">
        <w:rPr>
          <w:rFonts w:cs="Calibri"/>
          <w:b/>
          <w:bCs/>
        </w:rPr>
        <w:fldChar w:fldCharType="separate"/>
      </w:r>
      <w:r w:rsidRPr="006E786C">
        <w:rPr>
          <w:rFonts w:cs="Calibri"/>
          <w:b/>
          <w:bCs/>
        </w:rPr>
        <w:t>Figure MLS-02</w:t>
      </w:r>
      <w:r w:rsidRPr="008A5334">
        <w:rPr>
          <w:rFonts w:cs="Calibri"/>
          <w:b/>
          <w:bCs/>
        </w:rPr>
        <w:fldChar w:fldCharType="end"/>
      </w:r>
      <w:r w:rsidRPr="008A5334">
        <w:rPr>
          <w:rFonts w:cs="Calibri"/>
        </w:rPr>
        <w:t>). The annual catch series showed initially low removals in 1952-1953, followed by a high but potentially legitimate peak of ~80,000 individuals in 1954, then generally stable catches of between 20,000</w:t>
      </w:r>
      <w:r>
        <w:rPr>
          <w:rFonts w:cs="Calibri"/>
        </w:rPr>
        <w:t xml:space="preserve"> and </w:t>
      </w:r>
      <w:r w:rsidRPr="008A5334">
        <w:rPr>
          <w:rFonts w:cs="Calibri"/>
        </w:rPr>
        <w:t xml:space="preserve">40,000 individuals with a slight decline since 2000. </w:t>
      </w:r>
    </w:p>
    <w:p w14:paraId="124D564A" w14:textId="77777777" w:rsidR="008B4B3C" w:rsidRPr="008A5334" w:rsidRDefault="008B4B3C" w:rsidP="008B4B3C">
      <w:pPr>
        <w:rPr>
          <w:rFonts w:cs="Calibri"/>
        </w:rPr>
      </w:pPr>
    </w:p>
    <w:p w14:paraId="3BF40D87"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cs="Calibri"/>
        </w:rPr>
        <w:t>The standardized DWFN CPUE index (1988-2022) and New Zealand recreational index (</w:t>
      </w:r>
      <w:r w:rsidRPr="008A5334">
        <w:rPr>
          <w:rFonts w:cs="Calibri"/>
          <w:b/>
          <w:bCs/>
        </w:rPr>
        <w:fldChar w:fldCharType="begin"/>
      </w:r>
      <w:r w:rsidRPr="008A5334">
        <w:rPr>
          <w:rFonts w:cs="Calibri"/>
          <w:b/>
          <w:bCs/>
        </w:rPr>
        <w:instrText xml:space="preserve"> REF _Ref206231743 \h  \* MERGEFORMAT </w:instrText>
      </w:r>
      <w:r w:rsidRPr="008A5334">
        <w:rPr>
          <w:rFonts w:cs="Calibri"/>
          <w:b/>
          <w:bCs/>
        </w:rPr>
      </w:r>
      <w:r w:rsidRPr="008A5334">
        <w:rPr>
          <w:rFonts w:cs="Calibri"/>
          <w:b/>
          <w:bCs/>
        </w:rPr>
        <w:fldChar w:fldCharType="separate"/>
      </w:r>
      <w:r w:rsidRPr="006E786C">
        <w:rPr>
          <w:rFonts w:cs="Calibri"/>
          <w:b/>
          <w:bCs/>
        </w:rPr>
        <w:t>Figure MLS-03</w:t>
      </w:r>
      <w:r w:rsidRPr="008A5334">
        <w:rPr>
          <w:rFonts w:cs="Calibri"/>
          <w:b/>
          <w:bCs/>
        </w:rPr>
        <w:fldChar w:fldCharType="end"/>
      </w:r>
      <w:r w:rsidRPr="008A5334">
        <w:rPr>
          <w:rFonts w:cs="Calibri"/>
        </w:rPr>
        <w:t xml:space="preserve">) were the only indices with sufficient length and contrast to inform </w:t>
      </w:r>
      <w:r>
        <w:rPr>
          <w:rFonts w:cs="Calibri"/>
        </w:rPr>
        <w:t>population-scale</w:t>
      </w:r>
      <w:r w:rsidRPr="008A5334">
        <w:rPr>
          <w:rFonts w:cs="Calibri"/>
        </w:rPr>
        <w:t xml:space="preserve"> estimates, both exhibiting declining trends that constrain population size. The DWFN index showed high variability with </w:t>
      </w:r>
      <w:r>
        <w:rPr>
          <w:rFonts w:cs="Calibri"/>
        </w:rPr>
        <w:t xml:space="preserve">a </w:t>
      </w:r>
      <w:r w:rsidRPr="008A5334">
        <w:rPr>
          <w:rFonts w:cs="Calibri"/>
        </w:rPr>
        <w:t xml:space="preserve">general decline most pronounced after 2000, though stabilizing somewhat before showing slight recent increases. The New Zealand index showed a more continual decline from the mid-1990s, though observation error was larger in </w:t>
      </w:r>
      <w:r>
        <w:rPr>
          <w:rFonts w:cs="Calibri"/>
        </w:rPr>
        <w:t xml:space="preserve">the terminal years. The shorter observer indices were largely flat from 2000 to </w:t>
      </w:r>
      <w:r w:rsidRPr="008A5334">
        <w:rPr>
          <w:rFonts w:cs="Calibri"/>
        </w:rPr>
        <w:t xml:space="preserve">2022. The </w:t>
      </w:r>
      <w:r>
        <w:rPr>
          <w:rFonts w:cs="Calibri"/>
        </w:rPr>
        <w:t>Australian</w:t>
      </w:r>
      <w:r w:rsidRPr="008A5334">
        <w:rPr>
          <w:rFonts w:cs="Calibri"/>
        </w:rPr>
        <w:t xml:space="preserve"> longline index was also short and showed an initial decline before being largely stable with a larger observation in the terminal year. </w:t>
      </w:r>
    </w:p>
    <w:p w14:paraId="1CB7DA2C" w14:textId="77777777" w:rsidR="008B4B3C" w:rsidRPr="008A5334" w:rsidRDefault="008B4B3C" w:rsidP="008B4B3C">
      <w:pPr>
        <w:pStyle w:val="SCtext"/>
        <w:ind w:left="0" w:firstLine="0"/>
        <w:rPr>
          <w:rFonts w:cs="Calibri"/>
        </w:rPr>
      </w:pPr>
    </w:p>
    <w:p w14:paraId="54399390"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cs="Calibri"/>
        </w:rPr>
        <w:t>The ensemble estimated total population trajectories (</w:t>
      </w:r>
      <w:r w:rsidRPr="008A5334">
        <w:rPr>
          <w:rFonts w:cs="Calibri"/>
          <w:b/>
          <w:bCs/>
        </w:rPr>
        <w:fldChar w:fldCharType="begin"/>
      </w:r>
      <w:r w:rsidRPr="008A5334">
        <w:rPr>
          <w:rFonts w:cs="Calibri"/>
          <w:b/>
          <w:bCs/>
        </w:rPr>
        <w:instrText xml:space="preserve"> REF _Ref206231752 \h  \* MERGEFORMAT </w:instrText>
      </w:r>
      <w:r w:rsidRPr="008A5334">
        <w:rPr>
          <w:rFonts w:cs="Calibri"/>
          <w:b/>
          <w:bCs/>
        </w:rPr>
      </w:r>
      <w:r w:rsidRPr="008A5334">
        <w:rPr>
          <w:rFonts w:cs="Calibri"/>
          <w:b/>
          <w:bCs/>
        </w:rPr>
        <w:fldChar w:fldCharType="separate"/>
      </w:r>
      <w:r w:rsidRPr="006E786C">
        <w:rPr>
          <w:rFonts w:cs="Calibri"/>
          <w:b/>
          <w:bCs/>
        </w:rPr>
        <w:t>Figure MLS-04</w:t>
      </w:r>
      <w:r w:rsidRPr="008A5334">
        <w:rPr>
          <w:rFonts w:cs="Calibri"/>
          <w:b/>
          <w:bCs/>
        </w:rPr>
        <w:fldChar w:fldCharType="end"/>
      </w:r>
      <w:r w:rsidRPr="008A5334">
        <w:rPr>
          <w:rFonts w:cs="Calibri"/>
        </w:rPr>
        <w:t>) showing a pronounced decline from unfished conditions during the 1950s-1960s, relatively stable population levels around from the 1970s through early 2000s, and recovery since approximately 2015. Fishing mortality (</w:t>
      </w:r>
      <w:r w:rsidRPr="008A5334">
        <w:rPr>
          <w:rFonts w:cs="Calibri"/>
          <w:i/>
          <w:iCs/>
        </w:rPr>
        <w:t>F</w:t>
      </w:r>
      <w:r w:rsidRPr="008A5334">
        <w:rPr>
          <w:rFonts w:cs="Calibri"/>
        </w:rPr>
        <w:t>) estimates (</w:t>
      </w:r>
      <w:r w:rsidRPr="008A5334">
        <w:rPr>
          <w:rFonts w:cs="Calibri"/>
          <w:b/>
          <w:bCs/>
        </w:rPr>
        <w:fldChar w:fldCharType="begin"/>
      </w:r>
      <w:r w:rsidRPr="008A5334">
        <w:rPr>
          <w:rFonts w:cs="Calibri"/>
          <w:b/>
          <w:bCs/>
        </w:rPr>
        <w:instrText xml:space="preserve"> REF _Ref206231752 \h  \* MERGEFORMAT </w:instrText>
      </w:r>
      <w:r w:rsidRPr="008A5334">
        <w:rPr>
          <w:rFonts w:cs="Calibri"/>
          <w:b/>
          <w:bCs/>
        </w:rPr>
      </w:r>
      <w:r w:rsidRPr="008A5334">
        <w:rPr>
          <w:rFonts w:cs="Calibri"/>
          <w:b/>
          <w:bCs/>
        </w:rPr>
        <w:fldChar w:fldCharType="separate"/>
      </w:r>
      <w:r w:rsidRPr="006E786C">
        <w:rPr>
          <w:rFonts w:cs="Calibri"/>
          <w:b/>
          <w:bCs/>
        </w:rPr>
        <w:t>Figure MLS-04</w:t>
      </w:r>
      <w:r w:rsidRPr="008A5334">
        <w:rPr>
          <w:rFonts w:cs="Calibri"/>
          <w:b/>
          <w:bCs/>
        </w:rPr>
        <w:fldChar w:fldCharType="end"/>
      </w:r>
      <w:r w:rsidRPr="008A5334">
        <w:rPr>
          <w:rFonts w:cs="Calibri"/>
        </w:rPr>
        <w:t xml:space="preserve">) generally increased through the model period until the early 2000s, followed by generally declining trends in recent decades consistent with population recovery patterns. The models demonstrated evidence of a well-determined production function through successful model-free hindcast validation, where models fitted to progressively truncated datasets successfully predicted future population dynamics based solely on estimated production parameters and catch data. Model validation through retrospective analysis showed acceptable bias within recommended ranges, and all models showed good convergence according to conventional Bayesian diagnostics. </w:t>
      </w:r>
    </w:p>
    <w:p w14:paraId="3FDEE363" w14:textId="77777777" w:rsidR="008B4B3C" w:rsidRPr="008A5334" w:rsidRDefault="008B4B3C" w:rsidP="008B4B3C">
      <w:pPr>
        <w:pStyle w:val="SCtext"/>
        <w:ind w:left="0" w:firstLine="0"/>
        <w:rPr>
          <w:rFonts w:cs="Calibri"/>
        </w:rPr>
      </w:pPr>
    </w:p>
    <w:p w14:paraId="64C63244"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cs="Calibri"/>
        </w:rPr>
        <w:t>Total depletion (</w:t>
      </w:r>
      <w:r w:rsidRPr="008A5334">
        <w:rPr>
          <w:rFonts w:cs="Calibri"/>
          <w:i/>
          <w:iCs/>
        </w:rPr>
        <w:t>D</w:t>
      </w:r>
      <w:r w:rsidRPr="008A5334">
        <w:rPr>
          <w:rFonts w:cs="Calibri"/>
        </w:rPr>
        <w:t>), defined as the static depletion of total numbers relative to the initial total unfished numbers</w:t>
      </w:r>
      <w:r>
        <w:rPr>
          <w:rFonts w:cs="Calibri"/>
        </w:rPr>
        <w:t>,</w:t>
      </w:r>
      <w:r w:rsidRPr="008A5334">
        <w:rPr>
          <w:rFonts w:cs="Calibri"/>
        </w:rPr>
        <w:t xml:space="preserve"> largely followed the same patterns as the total population trajectory (</w:t>
      </w:r>
      <w:r w:rsidRPr="008A5334">
        <w:rPr>
          <w:rFonts w:cs="Calibri"/>
          <w:b/>
          <w:bCs/>
        </w:rPr>
        <w:fldChar w:fldCharType="begin"/>
      </w:r>
      <w:r w:rsidRPr="008A5334">
        <w:rPr>
          <w:rFonts w:cs="Calibri"/>
          <w:b/>
          <w:bCs/>
        </w:rPr>
        <w:instrText xml:space="preserve"> REF _Ref206231752 \h  \* MERGEFORMAT </w:instrText>
      </w:r>
      <w:r w:rsidRPr="008A5334">
        <w:rPr>
          <w:rFonts w:cs="Calibri"/>
          <w:b/>
          <w:bCs/>
        </w:rPr>
      </w:r>
      <w:r w:rsidRPr="008A5334">
        <w:rPr>
          <w:rFonts w:cs="Calibri"/>
          <w:b/>
          <w:bCs/>
        </w:rPr>
        <w:fldChar w:fldCharType="separate"/>
      </w:r>
      <w:r w:rsidRPr="006E786C">
        <w:rPr>
          <w:rFonts w:cs="Calibri"/>
          <w:b/>
          <w:bCs/>
        </w:rPr>
        <w:t>Figure MLS-04</w:t>
      </w:r>
      <w:r w:rsidRPr="008A5334">
        <w:rPr>
          <w:rFonts w:cs="Calibri"/>
          <w:b/>
          <w:bCs/>
        </w:rPr>
        <w:fldChar w:fldCharType="end"/>
      </w:r>
      <w:r w:rsidRPr="008A5334">
        <w:rPr>
          <w:rFonts w:cs="Calibri"/>
        </w:rPr>
        <w:t xml:space="preserve">). Uncertainty in total depletion was large and asymmetrical, with more uncertainty to the </w:t>
      </w:r>
      <w:r>
        <w:rPr>
          <w:rFonts w:cs="Calibri"/>
        </w:rPr>
        <w:t>high side</w:t>
      </w:r>
      <w:r w:rsidRPr="008A5334">
        <w:rPr>
          <w:rFonts w:cs="Calibri"/>
        </w:rPr>
        <w:t xml:space="preserve">. This is driven by the large uncertainty in population scale. The lower bound of uncertainty was constrained by requiring a large enough population to support the 70-year catch history. However, the existing data do not support a large population but rather indicate a small, highly productive stock capable of sustaining observed catch levels, which is a conclusion consistent with the Stock Synthesis assessment and previous assessments of this stock. Though population scale estimates were driven by different productivity assumptions, larger catches or a flatter CPUE index would all support a larger population. </w:t>
      </w:r>
    </w:p>
    <w:p w14:paraId="22834AB9" w14:textId="77777777" w:rsidR="008B4B3C" w:rsidRPr="008A5334" w:rsidRDefault="008B4B3C" w:rsidP="008B4B3C">
      <w:pPr>
        <w:pStyle w:val="SCtext"/>
        <w:ind w:left="0" w:firstLine="0"/>
        <w:rPr>
          <w:rFonts w:cs="Calibri"/>
        </w:rPr>
      </w:pPr>
    </w:p>
    <w:p w14:paraId="21D663E4"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cs="Calibri"/>
        </w:rPr>
        <w:t xml:space="preserve">As noted, this BSPM approach showed similar results to the Stock Synthesis integrated model but provided greater confidence in the results by identifying a well-determined production function and more appropriately integrating over uncertainty in population scale and productivity. Previous integrated assessments encountered challenges fitting size composition data, conflicts between data sources, and difficulties in determining a stock production function. Key strengths of the BSPM included explicit parameter uncertainty incorporation through simulation-based priors, prior pushforward analysis ensuring biological realism, comprehensive sensitivity analysis, and a well-determined production function. </w:t>
      </w:r>
    </w:p>
    <w:p w14:paraId="38C2DCA6" w14:textId="77777777" w:rsidR="008B4B3C" w:rsidRPr="008A5334" w:rsidRDefault="008B4B3C" w:rsidP="008B4B3C">
      <w:pPr>
        <w:pStyle w:val="SCtext"/>
        <w:ind w:left="0" w:firstLine="0"/>
        <w:rPr>
          <w:rFonts w:cs="Calibri"/>
        </w:rPr>
      </w:pPr>
    </w:p>
    <w:p w14:paraId="26979656" w14:textId="77777777" w:rsidR="008B4B3C" w:rsidRPr="008A5334" w:rsidRDefault="008B4B3C" w:rsidP="008B4B3C">
      <w:pPr>
        <w:pStyle w:val="Caption"/>
        <w:keepNext/>
        <w:jc w:val="both"/>
        <w:rPr>
          <w:rFonts w:cs="Calibri"/>
          <w:i w:val="0"/>
          <w:iCs w:val="0"/>
          <w:szCs w:val="22"/>
        </w:rPr>
      </w:pPr>
      <w:bookmarkStart w:id="3" w:name="_Ref206231683"/>
      <w:r w:rsidRPr="008A5334">
        <w:rPr>
          <w:rFonts w:cs="Calibri"/>
          <w:bCs/>
          <w:szCs w:val="22"/>
        </w:rPr>
        <w:t>Table MLS-01</w:t>
      </w:r>
      <w:bookmarkEnd w:id="3"/>
      <w:r w:rsidRPr="008A5334">
        <w:rPr>
          <w:rFonts w:cs="Calibri"/>
          <w:bCs/>
          <w:szCs w:val="22"/>
        </w:rPr>
        <w:t>.</w:t>
      </w:r>
      <w:r w:rsidRPr="008A5334">
        <w:rPr>
          <w:rFonts w:cs="Calibri"/>
          <w:szCs w:val="22"/>
        </w:rPr>
        <w:t xml:space="preserve"> </w:t>
      </w:r>
      <w:r w:rsidRPr="008A5334">
        <w:rPr>
          <w:rFonts w:cs="Calibri"/>
          <w:bCs/>
          <w:szCs w:val="22"/>
        </w:rPr>
        <w:t>Stock assessment model structure for the 2025 Southwest Pacific striped marlin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260"/>
        <w:gridCol w:w="5930"/>
      </w:tblGrid>
      <w:tr w:rsidR="008B4B3C" w:rsidRPr="008A5334" w14:paraId="7E8A530B" w14:textId="77777777" w:rsidTr="00BF2179">
        <w:tc>
          <w:tcPr>
            <w:tcW w:w="2160" w:type="dxa"/>
            <w:tcBorders>
              <w:top w:val="single" w:sz="4" w:space="0" w:color="auto"/>
              <w:bottom w:val="double" w:sz="4" w:space="0" w:color="auto"/>
            </w:tcBorders>
          </w:tcPr>
          <w:p w14:paraId="206F2667" w14:textId="77777777" w:rsidR="008B4B3C" w:rsidRPr="008A5334" w:rsidRDefault="008B4B3C" w:rsidP="00BF2179">
            <w:pPr>
              <w:keepNext/>
              <w:rPr>
                <w:rFonts w:cs="Calibri"/>
              </w:rPr>
            </w:pPr>
          </w:p>
        </w:tc>
        <w:tc>
          <w:tcPr>
            <w:tcW w:w="1260" w:type="dxa"/>
            <w:tcBorders>
              <w:top w:val="single" w:sz="4" w:space="0" w:color="auto"/>
              <w:bottom w:val="double" w:sz="4" w:space="0" w:color="auto"/>
            </w:tcBorders>
          </w:tcPr>
          <w:p w14:paraId="632109FE" w14:textId="77777777" w:rsidR="008B4B3C" w:rsidRPr="008A5334" w:rsidRDefault="008B4B3C" w:rsidP="00BF2179">
            <w:pPr>
              <w:keepNext/>
              <w:rPr>
                <w:rFonts w:cs="Calibri"/>
              </w:rPr>
            </w:pPr>
            <w:r w:rsidRPr="008A5334">
              <w:rPr>
                <w:rFonts w:cs="Calibri"/>
              </w:rPr>
              <w:t>Number</w:t>
            </w:r>
          </w:p>
        </w:tc>
        <w:tc>
          <w:tcPr>
            <w:tcW w:w="5930" w:type="dxa"/>
            <w:tcBorders>
              <w:top w:val="single" w:sz="4" w:space="0" w:color="auto"/>
              <w:bottom w:val="double" w:sz="4" w:space="0" w:color="auto"/>
            </w:tcBorders>
          </w:tcPr>
          <w:p w14:paraId="0589478B" w14:textId="77777777" w:rsidR="008B4B3C" w:rsidRPr="008A5334" w:rsidRDefault="008B4B3C" w:rsidP="00BF2179">
            <w:pPr>
              <w:keepNext/>
              <w:rPr>
                <w:rFonts w:cs="Calibri"/>
              </w:rPr>
            </w:pPr>
            <w:r w:rsidRPr="008A5334">
              <w:rPr>
                <w:rFonts w:cs="Calibri"/>
              </w:rPr>
              <w:t>Description</w:t>
            </w:r>
          </w:p>
        </w:tc>
      </w:tr>
      <w:tr w:rsidR="008B4B3C" w:rsidRPr="008A5334" w14:paraId="3F2B7C3F" w14:textId="77777777" w:rsidTr="00BF2179">
        <w:tc>
          <w:tcPr>
            <w:tcW w:w="2160" w:type="dxa"/>
            <w:tcBorders>
              <w:top w:val="double" w:sz="4" w:space="0" w:color="auto"/>
            </w:tcBorders>
          </w:tcPr>
          <w:p w14:paraId="1BA0CC01" w14:textId="77777777" w:rsidR="008B4B3C" w:rsidRPr="008A5334" w:rsidRDefault="008B4B3C" w:rsidP="00BF2179">
            <w:pPr>
              <w:keepNext/>
              <w:rPr>
                <w:rFonts w:cs="Calibri"/>
              </w:rPr>
            </w:pPr>
            <w:r w:rsidRPr="008A5334">
              <w:rPr>
                <w:rFonts w:cs="Calibri"/>
              </w:rPr>
              <w:t>Spatial structure</w:t>
            </w:r>
          </w:p>
        </w:tc>
        <w:tc>
          <w:tcPr>
            <w:tcW w:w="1260" w:type="dxa"/>
            <w:tcBorders>
              <w:top w:val="double" w:sz="4" w:space="0" w:color="auto"/>
            </w:tcBorders>
          </w:tcPr>
          <w:p w14:paraId="02BEF159" w14:textId="77777777" w:rsidR="008B4B3C" w:rsidRPr="008A5334" w:rsidRDefault="008B4B3C" w:rsidP="00BF2179">
            <w:pPr>
              <w:keepNext/>
              <w:rPr>
                <w:rFonts w:cs="Calibri"/>
              </w:rPr>
            </w:pPr>
            <w:r w:rsidRPr="008A5334">
              <w:rPr>
                <w:rFonts w:cs="Calibri"/>
              </w:rPr>
              <w:t>1</w:t>
            </w:r>
          </w:p>
        </w:tc>
        <w:tc>
          <w:tcPr>
            <w:tcW w:w="5930" w:type="dxa"/>
            <w:tcBorders>
              <w:top w:val="double" w:sz="4" w:space="0" w:color="auto"/>
            </w:tcBorders>
          </w:tcPr>
          <w:p w14:paraId="723D9289" w14:textId="77777777" w:rsidR="008B4B3C" w:rsidRPr="008A5334" w:rsidRDefault="008B4B3C" w:rsidP="00BF2179">
            <w:pPr>
              <w:keepNext/>
              <w:rPr>
                <w:rFonts w:cs="Calibri"/>
              </w:rPr>
            </w:pPr>
            <w:r w:rsidRPr="008A5334">
              <w:rPr>
                <w:rFonts w:cs="Calibri"/>
              </w:rPr>
              <w:t>Assumes single, well-mixed stock</w:t>
            </w:r>
          </w:p>
        </w:tc>
      </w:tr>
      <w:tr w:rsidR="008B4B3C" w:rsidRPr="008A5334" w14:paraId="4091F63A" w14:textId="77777777" w:rsidTr="00BF2179">
        <w:tc>
          <w:tcPr>
            <w:tcW w:w="2160" w:type="dxa"/>
          </w:tcPr>
          <w:p w14:paraId="024A4BA4" w14:textId="77777777" w:rsidR="008B4B3C" w:rsidRPr="008A5334" w:rsidRDefault="008B4B3C" w:rsidP="00BF2179">
            <w:pPr>
              <w:keepNext/>
              <w:rPr>
                <w:rFonts w:cs="Calibri"/>
              </w:rPr>
            </w:pPr>
            <w:r w:rsidRPr="008A5334">
              <w:rPr>
                <w:rFonts w:cs="Calibri"/>
              </w:rPr>
              <w:t>Age structure</w:t>
            </w:r>
          </w:p>
        </w:tc>
        <w:tc>
          <w:tcPr>
            <w:tcW w:w="1260" w:type="dxa"/>
          </w:tcPr>
          <w:p w14:paraId="77448261" w14:textId="77777777" w:rsidR="008B4B3C" w:rsidRPr="008A5334" w:rsidRDefault="008B4B3C" w:rsidP="00BF2179">
            <w:pPr>
              <w:keepNext/>
              <w:rPr>
                <w:rFonts w:cs="Calibri"/>
              </w:rPr>
            </w:pPr>
            <w:r w:rsidRPr="008A5334">
              <w:rPr>
                <w:rFonts w:cs="Calibri"/>
              </w:rPr>
              <w:t>1</w:t>
            </w:r>
          </w:p>
        </w:tc>
        <w:tc>
          <w:tcPr>
            <w:tcW w:w="5930" w:type="dxa"/>
          </w:tcPr>
          <w:p w14:paraId="1A4ABF1A" w14:textId="77777777" w:rsidR="008B4B3C" w:rsidRPr="008A5334" w:rsidRDefault="008B4B3C" w:rsidP="00BF2179">
            <w:pPr>
              <w:keepNext/>
              <w:rPr>
                <w:rFonts w:cs="Calibri"/>
              </w:rPr>
            </w:pPr>
            <w:proofErr w:type="gramStart"/>
            <w:r w:rsidRPr="008A5334">
              <w:rPr>
                <w:rFonts w:cs="Calibri"/>
              </w:rPr>
              <w:t>Assumes</w:t>
            </w:r>
            <w:proofErr w:type="gramEnd"/>
            <w:r w:rsidRPr="008A5334">
              <w:rPr>
                <w:rFonts w:cs="Calibri"/>
              </w:rPr>
              <w:t xml:space="preserve"> a single age class</w:t>
            </w:r>
          </w:p>
        </w:tc>
      </w:tr>
      <w:tr w:rsidR="008B4B3C" w:rsidRPr="008A5334" w14:paraId="2F9EFE54" w14:textId="77777777" w:rsidTr="00BF2179">
        <w:tc>
          <w:tcPr>
            <w:tcW w:w="2160" w:type="dxa"/>
            <w:tcBorders>
              <w:bottom w:val="single" w:sz="4" w:space="0" w:color="auto"/>
            </w:tcBorders>
          </w:tcPr>
          <w:p w14:paraId="3A9FE83C" w14:textId="77777777" w:rsidR="008B4B3C" w:rsidRPr="008A5334" w:rsidRDefault="008B4B3C" w:rsidP="00BF2179">
            <w:pPr>
              <w:keepNext/>
              <w:rPr>
                <w:rFonts w:cs="Calibri"/>
              </w:rPr>
            </w:pPr>
            <w:r w:rsidRPr="008A5334">
              <w:rPr>
                <w:rFonts w:cs="Calibri"/>
              </w:rPr>
              <w:t>Fishery structure</w:t>
            </w:r>
          </w:p>
        </w:tc>
        <w:tc>
          <w:tcPr>
            <w:tcW w:w="1260" w:type="dxa"/>
            <w:tcBorders>
              <w:bottom w:val="single" w:sz="4" w:space="0" w:color="auto"/>
            </w:tcBorders>
          </w:tcPr>
          <w:p w14:paraId="239D257B" w14:textId="77777777" w:rsidR="008B4B3C" w:rsidRPr="008A5334" w:rsidRDefault="008B4B3C" w:rsidP="00BF2179">
            <w:pPr>
              <w:keepNext/>
              <w:rPr>
                <w:rFonts w:cs="Calibri"/>
              </w:rPr>
            </w:pPr>
            <w:r w:rsidRPr="008A5334">
              <w:rPr>
                <w:rFonts w:cs="Calibri"/>
              </w:rPr>
              <w:t>1</w:t>
            </w:r>
          </w:p>
        </w:tc>
        <w:tc>
          <w:tcPr>
            <w:tcW w:w="5930" w:type="dxa"/>
            <w:tcBorders>
              <w:bottom w:val="single" w:sz="4" w:space="0" w:color="auto"/>
            </w:tcBorders>
          </w:tcPr>
          <w:p w14:paraId="5EB3B7CC" w14:textId="77777777" w:rsidR="008B4B3C" w:rsidRPr="008A5334" w:rsidRDefault="008B4B3C" w:rsidP="00BF2179">
            <w:pPr>
              <w:keepNext/>
              <w:rPr>
                <w:rFonts w:cs="Calibri"/>
              </w:rPr>
            </w:pPr>
            <w:r w:rsidRPr="008A5334">
              <w:rPr>
                <w:rFonts w:cs="Calibri"/>
              </w:rPr>
              <w:t>Assumes a single fishery with knife-edge asymptotic selectivity</w:t>
            </w:r>
          </w:p>
        </w:tc>
      </w:tr>
    </w:tbl>
    <w:p w14:paraId="018FA19B" w14:textId="77777777" w:rsidR="008B4B3C" w:rsidRPr="008A5334" w:rsidRDefault="008B4B3C" w:rsidP="008B4B3C">
      <w:pPr>
        <w:rPr>
          <w:rFonts w:cs="Calibri"/>
        </w:rPr>
        <w:sectPr w:rsidR="008B4B3C" w:rsidRPr="008A5334" w:rsidSect="00C322A6">
          <w:footerReference w:type="default" r:id="rId9"/>
          <w:pgSz w:w="12240" w:h="15840" w:code="1"/>
          <w:pgMar w:top="1440" w:right="1440" w:bottom="1440" w:left="1440" w:header="720" w:footer="720" w:gutter="0"/>
          <w:cols w:space="720"/>
          <w:titlePg/>
          <w:docGrid w:linePitch="360"/>
        </w:sectPr>
      </w:pPr>
    </w:p>
    <w:p w14:paraId="7E37568D" w14:textId="77777777" w:rsidR="008B4B3C" w:rsidRPr="008A5334" w:rsidRDefault="008B4B3C" w:rsidP="008B4B3C">
      <w:pPr>
        <w:pStyle w:val="Caption"/>
        <w:keepNext/>
        <w:rPr>
          <w:rFonts w:cs="Calibri"/>
          <w:i w:val="0"/>
          <w:iCs w:val="0"/>
          <w:szCs w:val="22"/>
        </w:rPr>
      </w:pPr>
      <w:bookmarkStart w:id="4" w:name="_Ref206231698"/>
      <w:r w:rsidRPr="008A5334">
        <w:rPr>
          <w:rFonts w:cs="Calibri"/>
          <w:bCs/>
          <w:szCs w:val="22"/>
        </w:rPr>
        <w:lastRenderedPageBreak/>
        <w:t>Table MLS-02</w:t>
      </w:r>
      <w:bookmarkEnd w:id="4"/>
      <w:r w:rsidRPr="008A5334">
        <w:rPr>
          <w:rFonts w:cs="Calibri"/>
          <w:szCs w:val="22"/>
        </w:rPr>
        <w:t xml:space="preserve"> </w:t>
      </w:r>
      <w:r w:rsidRPr="008A5334">
        <w:rPr>
          <w:rFonts w:cs="Calibri"/>
          <w:bCs/>
          <w:szCs w:val="22"/>
        </w:rPr>
        <w:t>Key sources of uncertainty considered in the 2025 Southwest Pacific striped marlin stock assessment.</w:t>
      </w:r>
    </w:p>
    <w:tbl>
      <w:tblPr>
        <w:tblStyle w:val="Table"/>
        <w:tblW w:w="5000" w:type="pct"/>
        <w:jc w:val="center"/>
        <w:tblLook w:val="0020" w:firstRow="1" w:lastRow="0" w:firstColumn="0" w:lastColumn="0" w:noHBand="0" w:noVBand="0"/>
      </w:tblPr>
      <w:tblGrid>
        <w:gridCol w:w="2058"/>
        <w:gridCol w:w="2044"/>
        <w:gridCol w:w="4619"/>
        <w:gridCol w:w="1359"/>
      </w:tblGrid>
      <w:tr w:rsidR="008B4B3C" w:rsidRPr="008A5334" w14:paraId="26C11B93" w14:textId="77777777" w:rsidTr="00BF2179">
        <w:trPr>
          <w:cnfStyle w:val="100000000000" w:firstRow="1" w:lastRow="0" w:firstColumn="0" w:lastColumn="0" w:oddVBand="0" w:evenVBand="0" w:oddHBand="0" w:evenHBand="0" w:firstRowFirstColumn="0" w:firstRowLastColumn="0" w:lastRowFirstColumn="0" w:lastRowLastColumn="0"/>
          <w:tblHeader/>
          <w:jc w:val="center"/>
        </w:trPr>
        <w:tc>
          <w:tcPr>
            <w:tcW w:w="1021" w:type="pct"/>
            <w:tcBorders>
              <w:top w:val="single" w:sz="4" w:space="0" w:color="auto"/>
              <w:bottom w:val="single" w:sz="4" w:space="0" w:color="auto"/>
            </w:tcBorders>
            <w:shd w:val="clear" w:color="auto" w:fill="D9D9D9" w:themeFill="background1" w:themeFillShade="D9"/>
          </w:tcPr>
          <w:p w14:paraId="2C00559D" w14:textId="77777777" w:rsidR="008B4B3C" w:rsidRPr="008A5334" w:rsidRDefault="008B4B3C" w:rsidP="00BF2179">
            <w:pPr>
              <w:pStyle w:val="Compact"/>
              <w:jc w:val="center"/>
              <w:rPr>
                <w:rFonts w:ascii="Calibri" w:hAnsi="Calibri" w:cs="Calibri"/>
                <w:sz w:val="22"/>
                <w:szCs w:val="22"/>
              </w:rPr>
            </w:pPr>
            <w:r w:rsidRPr="008A5334">
              <w:rPr>
                <w:rFonts w:ascii="Calibri" w:hAnsi="Calibri" w:cs="Calibri"/>
                <w:sz w:val="22"/>
                <w:szCs w:val="22"/>
              </w:rPr>
              <w:t>Rationale</w:t>
            </w:r>
          </w:p>
        </w:tc>
        <w:tc>
          <w:tcPr>
            <w:tcW w:w="1014" w:type="pct"/>
            <w:tcBorders>
              <w:top w:val="single" w:sz="4" w:space="0" w:color="auto"/>
              <w:bottom w:val="single" w:sz="4" w:space="0" w:color="auto"/>
            </w:tcBorders>
            <w:shd w:val="clear" w:color="auto" w:fill="D9D9D9" w:themeFill="background1" w:themeFillShade="D9"/>
          </w:tcPr>
          <w:p w14:paraId="23E126C1" w14:textId="77777777" w:rsidR="008B4B3C" w:rsidRPr="008A5334" w:rsidRDefault="008B4B3C" w:rsidP="00BF2179">
            <w:pPr>
              <w:pStyle w:val="Compact"/>
              <w:jc w:val="center"/>
              <w:rPr>
                <w:rFonts w:ascii="Calibri" w:hAnsi="Calibri" w:cs="Calibri"/>
                <w:sz w:val="22"/>
                <w:szCs w:val="22"/>
              </w:rPr>
            </w:pPr>
            <w:r w:rsidRPr="008A5334">
              <w:rPr>
                <w:rFonts w:ascii="Calibri" w:hAnsi="Calibri" w:cs="Calibri"/>
                <w:sz w:val="22"/>
                <w:szCs w:val="22"/>
              </w:rPr>
              <w:t>Uncertainty</w:t>
            </w:r>
          </w:p>
        </w:tc>
        <w:tc>
          <w:tcPr>
            <w:tcW w:w="2291" w:type="pct"/>
            <w:tcBorders>
              <w:top w:val="single" w:sz="4" w:space="0" w:color="auto"/>
              <w:bottom w:val="single" w:sz="4" w:space="0" w:color="auto"/>
            </w:tcBorders>
            <w:shd w:val="clear" w:color="auto" w:fill="D9D9D9" w:themeFill="background1" w:themeFillShade="D9"/>
          </w:tcPr>
          <w:p w14:paraId="0F986EDE" w14:textId="77777777" w:rsidR="008B4B3C" w:rsidRPr="008A5334" w:rsidRDefault="008B4B3C" w:rsidP="00BF2179">
            <w:pPr>
              <w:pStyle w:val="Compact"/>
              <w:jc w:val="center"/>
              <w:rPr>
                <w:rFonts w:ascii="Calibri" w:hAnsi="Calibri" w:cs="Calibri"/>
                <w:sz w:val="22"/>
                <w:szCs w:val="22"/>
              </w:rPr>
            </w:pPr>
            <w:r w:rsidRPr="008A5334">
              <w:rPr>
                <w:rFonts w:ascii="Calibri" w:hAnsi="Calibri" w:cs="Calibri"/>
                <w:sz w:val="22"/>
                <w:szCs w:val="22"/>
              </w:rPr>
              <w:t>Impact</w:t>
            </w:r>
          </w:p>
        </w:tc>
        <w:tc>
          <w:tcPr>
            <w:tcW w:w="674" w:type="pct"/>
            <w:tcBorders>
              <w:top w:val="single" w:sz="4" w:space="0" w:color="auto"/>
              <w:bottom w:val="single" w:sz="4" w:space="0" w:color="auto"/>
            </w:tcBorders>
            <w:shd w:val="clear" w:color="auto" w:fill="D9D9D9" w:themeFill="background1" w:themeFillShade="D9"/>
          </w:tcPr>
          <w:p w14:paraId="65E1E954" w14:textId="77777777" w:rsidR="008B4B3C" w:rsidRPr="008A5334" w:rsidRDefault="008B4B3C" w:rsidP="00BF2179">
            <w:pPr>
              <w:pStyle w:val="Compact"/>
              <w:jc w:val="center"/>
              <w:rPr>
                <w:rFonts w:ascii="Calibri" w:hAnsi="Calibri" w:cs="Calibri"/>
                <w:sz w:val="22"/>
                <w:szCs w:val="22"/>
              </w:rPr>
            </w:pPr>
            <w:r w:rsidRPr="008A5334">
              <w:rPr>
                <w:rFonts w:ascii="Calibri" w:hAnsi="Calibri" w:cs="Calibri"/>
                <w:sz w:val="22"/>
                <w:szCs w:val="22"/>
              </w:rPr>
              <w:t>Confidence</w:t>
            </w:r>
          </w:p>
        </w:tc>
      </w:tr>
      <w:tr w:rsidR="008B4B3C" w:rsidRPr="008A5334" w14:paraId="46EBD53F" w14:textId="77777777" w:rsidTr="00BF2179">
        <w:trPr>
          <w:jc w:val="center"/>
        </w:trPr>
        <w:tc>
          <w:tcPr>
            <w:tcW w:w="5000" w:type="pct"/>
            <w:gridSpan w:val="4"/>
            <w:tcBorders>
              <w:top w:val="single" w:sz="4" w:space="0" w:color="auto"/>
              <w:bottom w:val="single" w:sz="2" w:space="0" w:color="auto"/>
            </w:tcBorders>
            <w:shd w:val="clear" w:color="auto" w:fill="D9D9D9" w:themeFill="background1" w:themeFillShade="D9"/>
          </w:tcPr>
          <w:p w14:paraId="594BAAFF"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Data</w:t>
            </w:r>
          </w:p>
        </w:tc>
      </w:tr>
      <w:tr w:rsidR="008B4B3C" w:rsidRPr="008A5334" w14:paraId="33F5F35C" w14:textId="77777777" w:rsidTr="00BF2179">
        <w:trPr>
          <w:jc w:val="center"/>
        </w:trPr>
        <w:tc>
          <w:tcPr>
            <w:tcW w:w="1021" w:type="pct"/>
            <w:tcBorders>
              <w:top w:val="single" w:sz="2" w:space="0" w:color="auto"/>
            </w:tcBorders>
          </w:tcPr>
          <w:p w14:paraId="6060BF35"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CPUE</w:t>
            </w:r>
          </w:p>
        </w:tc>
        <w:tc>
          <w:tcPr>
            <w:tcW w:w="1014" w:type="pct"/>
            <w:tcBorders>
              <w:top w:val="single" w:sz="2" w:space="0" w:color="auto"/>
            </w:tcBorders>
          </w:tcPr>
          <w:p w14:paraId="7A942E9D"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Best available long-term indices (DWFN &amp; New Zealand recreational)</w:t>
            </w:r>
          </w:p>
        </w:tc>
        <w:tc>
          <w:tcPr>
            <w:tcW w:w="2291" w:type="pct"/>
            <w:tcBorders>
              <w:top w:val="single" w:sz="2" w:space="0" w:color="auto"/>
            </w:tcBorders>
          </w:tcPr>
          <w:p w14:paraId="21CD3F7D"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 xml:space="preserve">Changes in the fleet composition and </w:t>
            </w:r>
            <w:proofErr w:type="gramStart"/>
            <w:r w:rsidRPr="008A5334">
              <w:rPr>
                <w:rFonts w:ascii="Calibri" w:hAnsi="Calibri" w:cs="Calibri"/>
                <w:sz w:val="22"/>
                <w:szCs w:val="22"/>
              </w:rPr>
              <w:t>or</w:t>
            </w:r>
            <w:proofErr w:type="gramEnd"/>
            <w:r w:rsidRPr="008A5334">
              <w:rPr>
                <w:rFonts w:ascii="Calibri" w:hAnsi="Calibri" w:cs="Calibri"/>
                <w:sz w:val="22"/>
                <w:szCs w:val="22"/>
              </w:rPr>
              <w:t xml:space="preserve"> fishing location in the DWFN index can be interpreted by the model as population</w:t>
            </w:r>
            <w:r>
              <w:rPr>
                <w:rFonts w:ascii="Calibri" w:hAnsi="Calibri" w:cs="Calibri"/>
                <w:sz w:val="22"/>
                <w:szCs w:val="22"/>
              </w:rPr>
              <w:t>-</w:t>
            </w:r>
            <w:r w:rsidRPr="008A5334">
              <w:rPr>
                <w:rFonts w:ascii="Calibri" w:hAnsi="Calibri" w:cs="Calibri"/>
                <w:sz w:val="22"/>
                <w:szCs w:val="22"/>
              </w:rPr>
              <w:t>level changes. For the New Zealand index, if the stock distribution has shifted</w:t>
            </w:r>
            <w:r>
              <w:rPr>
                <w:rFonts w:ascii="Calibri" w:hAnsi="Calibri" w:cs="Calibri"/>
                <w:sz w:val="22"/>
                <w:szCs w:val="22"/>
              </w:rPr>
              <w:t>,</w:t>
            </w:r>
            <w:r w:rsidRPr="008A5334">
              <w:rPr>
                <w:rFonts w:ascii="Calibri" w:hAnsi="Calibri" w:cs="Calibri"/>
                <w:sz w:val="22"/>
                <w:szCs w:val="22"/>
              </w:rPr>
              <w:t xml:space="preserve"> this may impact representativeness</w:t>
            </w:r>
          </w:p>
        </w:tc>
        <w:tc>
          <w:tcPr>
            <w:tcW w:w="674" w:type="pct"/>
            <w:tcBorders>
              <w:top w:val="single" w:sz="2" w:space="0" w:color="auto"/>
            </w:tcBorders>
          </w:tcPr>
          <w:p w14:paraId="5A095B07"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Medium</w:t>
            </w:r>
          </w:p>
        </w:tc>
      </w:tr>
      <w:tr w:rsidR="008B4B3C" w:rsidRPr="008A5334" w14:paraId="7CA3DE09" w14:textId="77777777" w:rsidTr="00BF2179">
        <w:trPr>
          <w:jc w:val="center"/>
        </w:trPr>
        <w:tc>
          <w:tcPr>
            <w:tcW w:w="1021" w:type="pct"/>
          </w:tcPr>
          <w:p w14:paraId="7D85E5C3"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Catch</w:t>
            </w:r>
          </w:p>
        </w:tc>
        <w:tc>
          <w:tcPr>
            <w:tcW w:w="1014" w:type="pct"/>
          </w:tcPr>
          <w:p w14:paraId="14CC65C6"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Situationally targeted species</w:t>
            </w:r>
            <w:r>
              <w:rPr>
                <w:rFonts w:ascii="Calibri" w:hAnsi="Calibri" w:cs="Calibri"/>
                <w:sz w:val="22"/>
                <w:szCs w:val="22"/>
              </w:rPr>
              <w:t>,</w:t>
            </w:r>
            <w:r w:rsidRPr="008A5334">
              <w:rPr>
                <w:rFonts w:ascii="Calibri" w:hAnsi="Calibri" w:cs="Calibri"/>
                <w:sz w:val="22"/>
                <w:szCs w:val="22"/>
              </w:rPr>
              <w:t xml:space="preserve"> so catch reporting may be inconsistent</w:t>
            </w:r>
          </w:p>
        </w:tc>
        <w:tc>
          <w:tcPr>
            <w:tcW w:w="2291" w:type="pct"/>
          </w:tcPr>
          <w:p w14:paraId="00692132"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Reported catches are highly influential </w:t>
            </w:r>
            <w:r>
              <w:rPr>
                <w:rFonts w:ascii="Calibri" w:hAnsi="Calibri" w:cs="Calibri"/>
                <w:sz w:val="22"/>
                <w:szCs w:val="22"/>
              </w:rPr>
              <w:t>on</w:t>
            </w:r>
            <w:r w:rsidRPr="008A5334">
              <w:rPr>
                <w:rFonts w:ascii="Calibri" w:hAnsi="Calibri" w:cs="Calibri"/>
                <w:sz w:val="22"/>
                <w:szCs w:val="22"/>
              </w:rPr>
              <w:t xml:space="preserve"> </w:t>
            </w:r>
            <w:r>
              <w:rPr>
                <w:rFonts w:ascii="Calibri" w:hAnsi="Calibri" w:cs="Calibri"/>
                <w:sz w:val="22"/>
                <w:szCs w:val="22"/>
              </w:rPr>
              <w:t xml:space="preserve">the </w:t>
            </w:r>
            <w:r w:rsidRPr="008A5334">
              <w:rPr>
                <w:rFonts w:ascii="Calibri" w:hAnsi="Calibri" w:cs="Calibri"/>
                <w:sz w:val="22"/>
                <w:szCs w:val="22"/>
              </w:rPr>
              <w:t>estimated population scale</w:t>
            </w:r>
          </w:p>
        </w:tc>
        <w:tc>
          <w:tcPr>
            <w:tcW w:w="674" w:type="pct"/>
          </w:tcPr>
          <w:p w14:paraId="5C2B1A7C"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Medium</w:t>
            </w:r>
          </w:p>
        </w:tc>
      </w:tr>
      <w:tr w:rsidR="008B4B3C" w:rsidRPr="008A5334" w14:paraId="0B98E56F" w14:textId="77777777" w:rsidTr="00BF2179">
        <w:trPr>
          <w:jc w:val="center"/>
        </w:trPr>
        <w:tc>
          <w:tcPr>
            <w:tcW w:w="5000" w:type="pct"/>
            <w:gridSpan w:val="4"/>
            <w:tcBorders>
              <w:top w:val="single" w:sz="4" w:space="0" w:color="auto"/>
              <w:bottom w:val="single" w:sz="4" w:space="0" w:color="auto"/>
            </w:tcBorders>
            <w:shd w:val="clear" w:color="auto" w:fill="D9D9D9" w:themeFill="background1" w:themeFillShade="D9"/>
          </w:tcPr>
          <w:p w14:paraId="358A0970"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Model</w:t>
            </w:r>
          </w:p>
        </w:tc>
      </w:tr>
      <w:tr w:rsidR="008B4B3C" w:rsidRPr="008A5334" w14:paraId="1D841F9B" w14:textId="77777777" w:rsidTr="00BF2179">
        <w:trPr>
          <w:jc w:val="center"/>
        </w:trPr>
        <w:tc>
          <w:tcPr>
            <w:tcW w:w="1021" w:type="pct"/>
            <w:tcBorders>
              <w:top w:val="single" w:sz="4" w:space="0" w:color="auto"/>
            </w:tcBorders>
          </w:tcPr>
          <w:p w14:paraId="03A67B57"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Parsimonious and robust model</w:t>
            </w:r>
          </w:p>
        </w:tc>
        <w:tc>
          <w:tcPr>
            <w:tcW w:w="1014" w:type="pct"/>
            <w:tcBorders>
              <w:top w:val="single" w:sz="4" w:space="0" w:color="auto"/>
            </w:tcBorders>
          </w:tcPr>
          <w:p w14:paraId="24D66BEF" w14:textId="77777777" w:rsidR="008B4B3C" w:rsidRPr="008A5334" w:rsidRDefault="008B4B3C" w:rsidP="00BF2179">
            <w:pPr>
              <w:pStyle w:val="Compact"/>
              <w:spacing w:after="120"/>
              <w:rPr>
                <w:rFonts w:ascii="Calibri" w:hAnsi="Calibri" w:cs="Calibri"/>
                <w:sz w:val="22"/>
                <w:szCs w:val="22"/>
              </w:rPr>
            </w:pPr>
            <w:r>
              <w:rPr>
                <w:rFonts w:ascii="Calibri" w:hAnsi="Calibri" w:cs="Calibri"/>
                <w:sz w:val="22"/>
                <w:szCs w:val="22"/>
              </w:rPr>
              <w:t>Over-</w:t>
            </w:r>
            <w:proofErr w:type="gramStart"/>
            <w:r>
              <w:rPr>
                <w:rFonts w:ascii="Calibri" w:hAnsi="Calibri" w:cs="Calibri"/>
                <w:sz w:val="22"/>
                <w:szCs w:val="22"/>
              </w:rPr>
              <w:t>simplifies</w:t>
            </w:r>
            <w:proofErr w:type="gramEnd"/>
            <w:r w:rsidRPr="008A5334">
              <w:rPr>
                <w:rFonts w:ascii="Calibri" w:hAnsi="Calibri" w:cs="Calibri"/>
                <w:sz w:val="22"/>
                <w:szCs w:val="22"/>
              </w:rPr>
              <w:t xml:space="preserve"> population and spatial dynamics</w:t>
            </w:r>
          </w:p>
        </w:tc>
        <w:tc>
          <w:tcPr>
            <w:tcW w:w="2291" w:type="pct"/>
            <w:tcBorders>
              <w:top w:val="single" w:sz="4" w:space="0" w:color="auto"/>
            </w:tcBorders>
          </w:tcPr>
          <w:p w14:paraId="50F7738F" w14:textId="77777777" w:rsidR="008B4B3C" w:rsidRPr="008A5334" w:rsidRDefault="008B4B3C" w:rsidP="00BF2179">
            <w:pPr>
              <w:pStyle w:val="Compact"/>
              <w:spacing w:after="120"/>
              <w:jc w:val="center"/>
              <w:rPr>
                <w:rFonts w:ascii="Calibri" w:hAnsi="Calibri" w:cs="Calibri"/>
                <w:sz w:val="22"/>
                <w:szCs w:val="22"/>
              </w:rPr>
            </w:pPr>
            <w:r w:rsidRPr="008A5334">
              <w:rPr>
                <w:rFonts w:ascii="Calibri" w:hAnsi="Calibri" w:cs="Calibri"/>
                <w:sz w:val="22"/>
                <w:szCs w:val="22"/>
              </w:rPr>
              <w:t>Unknown</w:t>
            </w:r>
          </w:p>
        </w:tc>
        <w:tc>
          <w:tcPr>
            <w:tcW w:w="674" w:type="pct"/>
            <w:tcBorders>
              <w:top w:val="single" w:sz="4" w:space="0" w:color="auto"/>
            </w:tcBorders>
          </w:tcPr>
          <w:p w14:paraId="40191695"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Medium</w:t>
            </w:r>
          </w:p>
        </w:tc>
      </w:tr>
      <w:tr w:rsidR="008B4B3C" w:rsidRPr="008A5334" w14:paraId="71A9AA08" w14:textId="77777777" w:rsidTr="00BF2179">
        <w:trPr>
          <w:jc w:val="center"/>
        </w:trPr>
        <w:tc>
          <w:tcPr>
            <w:tcW w:w="1021" w:type="pct"/>
            <w:tcBorders>
              <w:bottom w:val="single" w:sz="4" w:space="0" w:color="auto"/>
            </w:tcBorders>
          </w:tcPr>
          <w:p w14:paraId="70BD501A"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Static models</w:t>
            </w:r>
          </w:p>
        </w:tc>
        <w:tc>
          <w:tcPr>
            <w:tcW w:w="1014" w:type="pct"/>
            <w:tcBorders>
              <w:bottom w:val="single" w:sz="4" w:space="0" w:color="auto"/>
            </w:tcBorders>
          </w:tcPr>
          <w:p w14:paraId="29B6EAA3" w14:textId="77777777" w:rsidR="008B4B3C" w:rsidRPr="008A5334" w:rsidRDefault="008B4B3C" w:rsidP="00BF2179">
            <w:pPr>
              <w:pStyle w:val="Compact"/>
              <w:rPr>
                <w:rFonts w:ascii="Calibri" w:hAnsi="Calibri" w:cs="Calibri"/>
                <w:sz w:val="22"/>
                <w:szCs w:val="22"/>
              </w:rPr>
            </w:pPr>
            <w:r>
              <w:rPr>
                <w:rFonts w:ascii="Calibri" w:hAnsi="Calibri" w:cs="Calibri"/>
                <w:sz w:val="22"/>
                <w:szCs w:val="22"/>
              </w:rPr>
              <w:t>The value</w:t>
            </w:r>
            <w:r w:rsidRPr="008A5334">
              <w:rPr>
                <w:rFonts w:ascii="Calibri" w:hAnsi="Calibri" w:cs="Calibri"/>
                <w:sz w:val="22"/>
                <w:szCs w:val="22"/>
              </w:rPr>
              <w:t xml:space="preserve"> of key parameters is constant</w:t>
            </w:r>
          </w:p>
        </w:tc>
        <w:tc>
          <w:tcPr>
            <w:tcW w:w="2291" w:type="pct"/>
            <w:tcBorders>
              <w:bottom w:val="single" w:sz="4" w:space="0" w:color="auto"/>
            </w:tcBorders>
          </w:tcPr>
          <w:p w14:paraId="695425FC"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Changes in the fleet composition would influence the </w:t>
            </w:r>
            <w:r>
              <w:rPr>
                <w:rFonts w:ascii="Calibri" w:hAnsi="Calibri" w:cs="Calibri"/>
                <w:sz w:val="22"/>
                <w:szCs w:val="22"/>
              </w:rPr>
              <w:t>age structure of the population</w:t>
            </w:r>
            <w:r w:rsidRPr="008A5334">
              <w:rPr>
                <w:rFonts w:ascii="Calibri" w:hAnsi="Calibri" w:cs="Calibri"/>
                <w:sz w:val="22"/>
                <w:szCs w:val="22"/>
              </w:rPr>
              <w:t xml:space="preserve"> and lead to time-varying population dynamics.</w:t>
            </w:r>
          </w:p>
        </w:tc>
        <w:tc>
          <w:tcPr>
            <w:tcW w:w="674" w:type="pct"/>
            <w:tcBorders>
              <w:bottom w:val="single" w:sz="4" w:space="0" w:color="auto"/>
            </w:tcBorders>
          </w:tcPr>
          <w:p w14:paraId="5C422C48"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Low</w:t>
            </w:r>
          </w:p>
        </w:tc>
      </w:tr>
      <w:tr w:rsidR="008B4B3C" w:rsidRPr="008A5334" w14:paraId="623EDC70" w14:textId="77777777" w:rsidTr="00BF2179">
        <w:trPr>
          <w:jc w:val="center"/>
        </w:trPr>
        <w:tc>
          <w:tcPr>
            <w:tcW w:w="5000" w:type="pct"/>
            <w:gridSpan w:val="4"/>
            <w:tcBorders>
              <w:top w:val="single" w:sz="4" w:space="0" w:color="auto"/>
              <w:bottom w:val="single" w:sz="4" w:space="0" w:color="auto"/>
            </w:tcBorders>
            <w:shd w:val="clear" w:color="auto" w:fill="D9D9D9" w:themeFill="background1" w:themeFillShade="D9"/>
          </w:tcPr>
          <w:p w14:paraId="14ECF9FB"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Spatial Assumptions</w:t>
            </w:r>
          </w:p>
        </w:tc>
      </w:tr>
      <w:tr w:rsidR="008B4B3C" w:rsidRPr="008A5334" w14:paraId="25EE8206" w14:textId="77777777" w:rsidTr="00BF2179">
        <w:trPr>
          <w:jc w:val="center"/>
        </w:trPr>
        <w:tc>
          <w:tcPr>
            <w:tcW w:w="1021" w:type="pct"/>
            <w:tcBorders>
              <w:top w:val="single" w:sz="4" w:space="0" w:color="auto"/>
              <w:bottom w:val="single" w:sz="4" w:space="0" w:color="auto"/>
            </w:tcBorders>
          </w:tcPr>
          <w:p w14:paraId="209B8EC1"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Little tagging data to understand </w:t>
            </w:r>
            <w:r>
              <w:rPr>
                <w:rFonts w:ascii="Calibri" w:hAnsi="Calibri" w:cs="Calibri"/>
                <w:sz w:val="22"/>
                <w:szCs w:val="22"/>
              </w:rPr>
              <w:t xml:space="preserve">the </w:t>
            </w:r>
            <w:r w:rsidRPr="008A5334">
              <w:rPr>
                <w:rFonts w:ascii="Calibri" w:hAnsi="Calibri" w:cs="Calibri"/>
                <w:sz w:val="22"/>
                <w:szCs w:val="22"/>
              </w:rPr>
              <w:t>structure</w:t>
            </w:r>
          </w:p>
        </w:tc>
        <w:tc>
          <w:tcPr>
            <w:tcW w:w="1014" w:type="pct"/>
            <w:tcBorders>
              <w:top w:val="single" w:sz="4" w:space="0" w:color="auto"/>
              <w:bottom w:val="single" w:sz="4" w:space="0" w:color="auto"/>
            </w:tcBorders>
          </w:tcPr>
          <w:p w14:paraId="0AC04255"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Unclear</w:t>
            </w:r>
          </w:p>
        </w:tc>
        <w:tc>
          <w:tcPr>
            <w:tcW w:w="2291" w:type="pct"/>
            <w:tcBorders>
              <w:top w:val="single" w:sz="4" w:space="0" w:color="auto"/>
              <w:bottom w:val="single" w:sz="4" w:space="0" w:color="auto"/>
            </w:tcBorders>
          </w:tcPr>
          <w:p w14:paraId="0CBD5D8C"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Potentially important</w:t>
            </w:r>
            <w:r>
              <w:rPr>
                <w:rFonts w:ascii="Calibri" w:hAnsi="Calibri" w:cs="Calibri"/>
                <w:sz w:val="22"/>
                <w:szCs w:val="22"/>
              </w:rPr>
              <w:t>,</w:t>
            </w:r>
            <w:r w:rsidRPr="008A5334">
              <w:rPr>
                <w:rFonts w:ascii="Calibri" w:hAnsi="Calibri" w:cs="Calibri"/>
                <w:sz w:val="22"/>
                <w:szCs w:val="22"/>
              </w:rPr>
              <w:t xml:space="preserve"> not quantified</w:t>
            </w:r>
            <w:r>
              <w:rPr>
                <w:rFonts w:ascii="Calibri" w:hAnsi="Calibri" w:cs="Calibri"/>
                <w:sz w:val="22"/>
                <w:szCs w:val="22"/>
              </w:rPr>
              <w:t>,</w:t>
            </w:r>
            <w:r w:rsidRPr="008A5334">
              <w:rPr>
                <w:rFonts w:ascii="Calibri" w:hAnsi="Calibri" w:cs="Calibri"/>
                <w:sz w:val="22"/>
                <w:szCs w:val="22"/>
              </w:rPr>
              <w:t xml:space="preserve"> impact unknown</w:t>
            </w:r>
          </w:p>
        </w:tc>
        <w:tc>
          <w:tcPr>
            <w:tcW w:w="674" w:type="pct"/>
            <w:tcBorders>
              <w:top w:val="single" w:sz="4" w:space="0" w:color="auto"/>
              <w:bottom w:val="single" w:sz="4" w:space="0" w:color="auto"/>
            </w:tcBorders>
          </w:tcPr>
          <w:p w14:paraId="57BA6CD8"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Low</w:t>
            </w:r>
          </w:p>
        </w:tc>
      </w:tr>
      <w:tr w:rsidR="008B4B3C" w:rsidRPr="008A5334" w14:paraId="5032E3E4" w14:textId="77777777" w:rsidTr="00BF2179">
        <w:trPr>
          <w:jc w:val="center"/>
        </w:trPr>
        <w:tc>
          <w:tcPr>
            <w:tcW w:w="5000" w:type="pct"/>
            <w:gridSpan w:val="4"/>
            <w:tcBorders>
              <w:top w:val="single" w:sz="4" w:space="0" w:color="auto"/>
              <w:bottom w:val="single" w:sz="4" w:space="0" w:color="auto"/>
            </w:tcBorders>
            <w:shd w:val="clear" w:color="auto" w:fill="D9D9D9" w:themeFill="background1" w:themeFillShade="D9"/>
          </w:tcPr>
          <w:p w14:paraId="49FED4B4"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Key Parameter uncertainty</w:t>
            </w:r>
          </w:p>
        </w:tc>
      </w:tr>
      <w:tr w:rsidR="008B4B3C" w:rsidRPr="008A5334" w14:paraId="0318B5D1" w14:textId="77777777" w:rsidTr="00BF2179">
        <w:trPr>
          <w:jc w:val="center"/>
        </w:trPr>
        <w:tc>
          <w:tcPr>
            <w:tcW w:w="1021" w:type="pct"/>
            <w:tcBorders>
              <w:top w:val="single" w:sz="4" w:space="0" w:color="auto"/>
            </w:tcBorders>
          </w:tcPr>
          <w:p w14:paraId="4B5D8E40"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Productivity (</w:t>
            </w:r>
            <m:oMath>
              <m:sSub>
                <m:sSubPr>
                  <m:ctrlPr>
                    <w:rPr>
                      <w:rFonts w:ascii="Cambria Math" w:hAnsi="Cambria Math" w:cs="Calibri"/>
                      <w:i/>
                      <w:sz w:val="22"/>
                      <w:szCs w:val="22"/>
                    </w:rPr>
                  </m:ctrlPr>
                </m:sSubPr>
                <m:e>
                  <m:r>
                    <w:rPr>
                      <w:rFonts w:ascii="Cambria Math" w:hAnsi="Cambria Math" w:cs="Calibri"/>
                      <w:sz w:val="22"/>
                      <w:szCs w:val="22"/>
                    </w:rPr>
                    <m:t>R</m:t>
                  </m:r>
                </m:e>
                <m:sub>
                  <m:r>
                    <w:rPr>
                      <w:rFonts w:ascii="Cambria Math" w:hAnsi="Cambria Math" w:cs="Calibri"/>
                      <w:sz w:val="22"/>
                      <w:szCs w:val="22"/>
                    </w:rPr>
                    <m:t>MAX</m:t>
                  </m:r>
                </m:sub>
              </m:sSub>
            </m:oMath>
            <w:r w:rsidRPr="008A5334">
              <w:rPr>
                <w:rFonts w:ascii="Calibri" w:hAnsi="Calibri" w:cs="Calibri"/>
                <w:sz w:val="22"/>
                <w:szCs w:val="22"/>
              </w:rPr>
              <w:t>)</w:t>
            </w:r>
          </w:p>
        </w:tc>
        <w:tc>
          <w:tcPr>
            <w:tcW w:w="1014" w:type="pct"/>
            <w:tcBorders>
              <w:top w:val="single" w:sz="4" w:space="0" w:color="auto"/>
            </w:tcBorders>
          </w:tcPr>
          <w:p w14:paraId="5F2700B8"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Uncertainty in key biological processes</w:t>
            </w:r>
          </w:p>
        </w:tc>
        <w:tc>
          <w:tcPr>
            <w:tcW w:w="2291" w:type="pct"/>
            <w:tcBorders>
              <w:top w:val="single" w:sz="4" w:space="0" w:color="auto"/>
            </w:tcBorders>
          </w:tcPr>
          <w:p w14:paraId="76537A04"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 xml:space="preserve">Wide </w:t>
            </w:r>
            <w:proofErr w:type="gramStart"/>
            <w:r w:rsidRPr="008A5334">
              <w:rPr>
                <w:rFonts w:ascii="Calibri" w:hAnsi="Calibri" w:cs="Calibri"/>
                <w:sz w:val="22"/>
                <w:szCs w:val="22"/>
              </w:rPr>
              <w:t>prior</w:t>
            </w:r>
            <w:proofErr w:type="gramEnd"/>
            <w:r w:rsidRPr="008A5334">
              <w:rPr>
                <w:rFonts w:ascii="Calibri" w:hAnsi="Calibri" w:cs="Calibri"/>
                <w:sz w:val="22"/>
                <w:szCs w:val="22"/>
              </w:rPr>
              <w:t xml:space="preserve"> contributes to high uncertainty within model runs</w:t>
            </w:r>
          </w:p>
        </w:tc>
        <w:tc>
          <w:tcPr>
            <w:tcW w:w="674" w:type="pct"/>
            <w:tcBorders>
              <w:top w:val="single" w:sz="4" w:space="0" w:color="auto"/>
            </w:tcBorders>
          </w:tcPr>
          <w:p w14:paraId="7B7CF039"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High</w:t>
            </w:r>
          </w:p>
        </w:tc>
      </w:tr>
      <w:tr w:rsidR="008B4B3C" w:rsidRPr="008A5334" w14:paraId="21CA28E1" w14:textId="77777777" w:rsidTr="00BF2179">
        <w:trPr>
          <w:jc w:val="center"/>
        </w:trPr>
        <w:tc>
          <w:tcPr>
            <w:tcW w:w="1021" w:type="pct"/>
          </w:tcPr>
          <w:p w14:paraId="6603D72F"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 xml:space="preserve">Population scale (log(K) &amp; </w:t>
            </w:r>
            <m:oMath>
              <m:sSub>
                <m:sSubPr>
                  <m:ctrlPr>
                    <w:rPr>
                      <w:rFonts w:ascii="Cambria Math" w:hAnsi="Cambria Math" w:cs="Calibri"/>
                      <w:i/>
                      <w:sz w:val="22"/>
                      <w:szCs w:val="22"/>
                    </w:rPr>
                  </m:ctrlPr>
                </m:sSubPr>
                <m:e>
                  <m:r>
                    <w:rPr>
                      <w:rFonts w:ascii="Cambria Math" w:hAnsi="Cambria Math" w:cs="Calibri"/>
                      <w:sz w:val="22"/>
                      <w:szCs w:val="22"/>
                    </w:rPr>
                    <m:t>q</m:t>
                  </m:r>
                </m:e>
                <m:sub>
                  <m:r>
                    <w:rPr>
                      <w:rFonts w:ascii="Cambria Math" w:hAnsi="Cambria Math" w:cs="Calibri"/>
                      <w:sz w:val="22"/>
                      <w:szCs w:val="22"/>
                    </w:rPr>
                    <m:t>eff</m:t>
                  </m:r>
                </m:sub>
              </m:sSub>
            </m:oMath>
            <w:r w:rsidRPr="008A5334">
              <w:rPr>
                <w:rFonts w:ascii="Calibri" w:hAnsi="Calibri" w:cs="Calibri"/>
                <w:sz w:val="22"/>
                <w:szCs w:val="22"/>
              </w:rPr>
              <w:t>)</w:t>
            </w:r>
          </w:p>
        </w:tc>
        <w:tc>
          <w:tcPr>
            <w:tcW w:w="1014" w:type="pct"/>
          </w:tcPr>
          <w:p w14:paraId="3C631220"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 xml:space="preserve">Scale prior dependent on </w:t>
            </w:r>
            <w:r>
              <w:rPr>
                <w:rFonts w:ascii="Calibri" w:hAnsi="Calibri" w:cs="Calibri"/>
                <w:sz w:val="22"/>
                <w:szCs w:val="22"/>
              </w:rPr>
              <w:t xml:space="preserve">the </w:t>
            </w:r>
            <w:r w:rsidRPr="008A5334">
              <w:rPr>
                <w:rFonts w:ascii="Calibri" w:hAnsi="Calibri" w:cs="Calibri"/>
                <w:sz w:val="22"/>
                <w:szCs w:val="22"/>
              </w:rPr>
              <w:t>maximum observed catch being representative of MSY</w:t>
            </w:r>
          </w:p>
        </w:tc>
        <w:tc>
          <w:tcPr>
            <w:tcW w:w="2291" w:type="pct"/>
          </w:tcPr>
          <w:p w14:paraId="3FBB1D42" w14:textId="77777777" w:rsidR="008B4B3C" w:rsidRPr="008A5334" w:rsidRDefault="008B4B3C" w:rsidP="00BF2179">
            <w:pPr>
              <w:pStyle w:val="Compact"/>
              <w:spacing w:after="120"/>
              <w:rPr>
                <w:rFonts w:ascii="Calibri" w:hAnsi="Calibri" w:cs="Calibri"/>
                <w:sz w:val="22"/>
                <w:szCs w:val="22"/>
              </w:rPr>
            </w:pPr>
            <w:proofErr w:type="gramStart"/>
            <w:r w:rsidRPr="008A5334">
              <w:rPr>
                <w:rFonts w:ascii="Calibri" w:hAnsi="Calibri" w:cs="Calibri"/>
                <w:sz w:val="22"/>
                <w:szCs w:val="22"/>
              </w:rPr>
              <w:t>Broad prior</w:t>
            </w:r>
            <w:proofErr w:type="gramEnd"/>
            <w:r w:rsidRPr="008A5334">
              <w:rPr>
                <w:rFonts w:ascii="Calibri" w:hAnsi="Calibri" w:cs="Calibri"/>
                <w:sz w:val="22"/>
                <w:szCs w:val="22"/>
              </w:rPr>
              <w:t xml:space="preserve"> contributes to high uncertainty within model runs</w:t>
            </w:r>
          </w:p>
        </w:tc>
        <w:tc>
          <w:tcPr>
            <w:tcW w:w="674" w:type="pct"/>
          </w:tcPr>
          <w:p w14:paraId="085E3955"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High</w:t>
            </w:r>
          </w:p>
        </w:tc>
      </w:tr>
      <w:tr w:rsidR="008B4B3C" w:rsidRPr="008A5334" w14:paraId="629286B9" w14:textId="77777777" w:rsidTr="00BF2179">
        <w:trPr>
          <w:jc w:val="center"/>
        </w:trPr>
        <w:tc>
          <w:tcPr>
            <w:tcW w:w="1021" w:type="pct"/>
            <w:tcBorders>
              <w:bottom w:val="single" w:sz="4" w:space="0" w:color="auto"/>
            </w:tcBorders>
          </w:tcPr>
          <w:p w14:paraId="638EFFA6"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Shape n</w:t>
            </w:r>
          </w:p>
        </w:tc>
        <w:tc>
          <w:tcPr>
            <w:tcW w:w="1014" w:type="pct"/>
            <w:tcBorders>
              <w:bottom w:val="single" w:sz="4" w:space="0" w:color="auto"/>
            </w:tcBorders>
          </w:tcPr>
          <w:p w14:paraId="7FF2812E"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Alternative priors used to capture </w:t>
            </w:r>
            <w:r>
              <w:rPr>
                <w:rFonts w:ascii="Calibri" w:hAnsi="Calibri" w:cs="Calibri"/>
                <w:sz w:val="22"/>
                <w:szCs w:val="22"/>
              </w:rPr>
              <w:t xml:space="preserve">the </w:t>
            </w:r>
            <w:r w:rsidRPr="008A5334">
              <w:rPr>
                <w:rFonts w:ascii="Calibri" w:hAnsi="Calibri" w:cs="Calibri"/>
                <w:sz w:val="22"/>
                <w:szCs w:val="22"/>
              </w:rPr>
              <w:t>shape of the production function</w:t>
            </w:r>
          </w:p>
        </w:tc>
        <w:tc>
          <w:tcPr>
            <w:tcW w:w="2291" w:type="pct"/>
            <w:tcBorders>
              <w:bottom w:val="single" w:sz="4" w:space="0" w:color="auto"/>
            </w:tcBorders>
          </w:tcPr>
          <w:p w14:paraId="1552C7E9"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Uncertainty in where MSY occurs as a fraction of the unfished condition</w:t>
            </w:r>
          </w:p>
        </w:tc>
        <w:tc>
          <w:tcPr>
            <w:tcW w:w="674" w:type="pct"/>
            <w:tcBorders>
              <w:bottom w:val="single" w:sz="4" w:space="0" w:color="auto"/>
            </w:tcBorders>
          </w:tcPr>
          <w:p w14:paraId="23CBF569"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Medium</w:t>
            </w:r>
          </w:p>
        </w:tc>
      </w:tr>
      <w:tr w:rsidR="008B4B3C" w:rsidRPr="008A5334" w14:paraId="0CB96276" w14:textId="77777777" w:rsidTr="00BF2179">
        <w:trPr>
          <w:jc w:val="center"/>
        </w:trPr>
        <w:tc>
          <w:tcPr>
            <w:tcW w:w="5000" w:type="pct"/>
            <w:gridSpan w:val="4"/>
            <w:tcBorders>
              <w:top w:val="single" w:sz="4" w:space="0" w:color="auto"/>
              <w:bottom w:val="single" w:sz="4" w:space="0" w:color="auto"/>
            </w:tcBorders>
            <w:shd w:val="clear" w:color="auto" w:fill="D9D9D9" w:themeFill="background1" w:themeFillShade="D9"/>
          </w:tcPr>
          <w:p w14:paraId="2A474F49"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Structural Uncertainty</w:t>
            </w:r>
          </w:p>
        </w:tc>
      </w:tr>
      <w:tr w:rsidR="008B4B3C" w:rsidRPr="008A5334" w14:paraId="66479FA3" w14:textId="77777777" w:rsidTr="00BF2179">
        <w:trPr>
          <w:jc w:val="center"/>
        </w:trPr>
        <w:tc>
          <w:tcPr>
            <w:tcW w:w="1021" w:type="pct"/>
            <w:tcBorders>
              <w:top w:val="single" w:sz="4" w:space="0" w:color="auto"/>
              <w:bottom w:val="single" w:sz="4" w:space="0" w:color="auto"/>
            </w:tcBorders>
          </w:tcPr>
          <w:p w14:paraId="3F031286"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Fixed </w:t>
            </w:r>
            <m:oMath>
              <m:sSub>
                <m:sSubPr>
                  <m:ctrlPr>
                    <w:rPr>
                      <w:rFonts w:ascii="Cambria Math" w:hAnsi="Cambria Math" w:cs="Calibri"/>
                      <w:i/>
                      <w:sz w:val="22"/>
                      <w:szCs w:val="22"/>
                    </w:rPr>
                  </m:ctrlPr>
                </m:sSubPr>
                <m:e>
                  <m:r>
                    <w:rPr>
                      <w:rFonts w:ascii="Cambria Math" w:hAnsi="Cambria Math" w:cs="Calibri"/>
                      <w:sz w:val="22"/>
                      <w:szCs w:val="22"/>
                    </w:rPr>
                    <m:t>σ</m:t>
                  </m:r>
                </m:e>
                <m:sub>
                  <m:r>
                    <w:rPr>
                      <w:rFonts w:ascii="Cambria Math" w:hAnsi="Cambria Math" w:cs="Calibri"/>
                      <w:sz w:val="22"/>
                      <w:szCs w:val="22"/>
                    </w:rPr>
                    <m:t>C</m:t>
                  </m:r>
                </m:sub>
              </m:sSub>
            </m:oMath>
            <w:r w:rsidRPr="008A5334">
              <w:rPr>
                <w:rFonts w:ascii="Calibri" w:hAnsi="Calibri" w:cs="Calibri"/>
                <w:sz w:val="22"/>
                <w:szCs w:val="22"/>
              </w:rPr>
              <w:t xml:space="preserve"> = 0.2</w:t>
            </w:r>
          </w:p>
        </w:tc>
        <w:tc>
          <w:tcPr>
            <w:tcW w:w="1014" w:type="pct"/>
            <w:tcBorders>
              <w:top w:val="single" w:sz="4" w:space="0" w:color="auto"/>
              <w:bottom w:val="single" w:sz="4" w:space="0" w:color="auto"/>
            </w:tcBorders>
          </w:tcPr>
          <w:p w14:paraId="73EA675B"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Choice of </w:t>
            </w:r>
            <m:oMath>
              <m:sSub>
                <m:sSubPr>
                  <m:ctrlPr>
                    <w:rPr>
                      <w:rFonts w:ascii="Cambria Math" w:hAnsi="Cambria Math" w:cs="Calibri"/>
                      <w:i/>
                      <w:sz w:val="22"/>
                      <w:szCs w:val="22"/>
                    </w:rPr>
                  </m:ctrlPr>
                </m:sSubPr>
                <m:e>
                  <m:r>
                    <w:rPr>
                      <w:rFonts w:ascii="Cambria Math" w:hAnsi="Cambria Math" w:cs="Calibri"/>
                      <w:sz w:val="22"/>
                      <w:szCs w:val="22"/>
                    </w:rPr>
                    <m:t>σ</m:t>
                  </m:r>
                </m:e>
                <m:sub>
                  <m:r>
                    <w:rPr>
                      <w:rFonts w:ascii="Cambria Math" w:hAnsi="Cambria Math" w:cs="Calibri"/>
                      <w:sz w:val="22"/>
                      <w:szCs w:val="22"/>
                    </w:rPr>
                    <m:t>C</m:t>
                  </m:r>
                </m:sub>
              </m:sSub>
            </m:oMath>
            <w:r w:rsidRPr="008A5334">
              <w:rPr>
                <w:rFonts w:ascii="Calibri" w:hAnsi="Calibri" w:cs="Calibri"/>
                <w:sz w:val="22"/>
                <w:szCs w:val="22"/>
              </w:rPr>
              <w:t xml:space="preserve">  and observation model impacts estimated removals</w:t>
            </w:r>
          </w:p>
        </w:tc>
        <w:tc>
          <w:tcPr>
            <w:tcW w:w="2291" w:type="pct"/>
            <w:tcBorders>
              <w:top w:val="single" w:sz="4" w:space="0" w:color="auto"/>
              <w:bottom w:val="single" w:sz="4" w:space="0" w:color="auto"/>
            </w:tcBorders>
          </w:tcPr>
          <w:p w14:paraId="028C159C"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Removal estimates may not exactly match observations</w:t>
            </w:r>
          </w:p>
        </w:tc>
        <w:tc>
          <w:tcPr>
            <w:tcW w:w="674" w:type="pct"/>
            <w:tcBorders>
              <w:top w:val="single" w:sz="4" w:space="0" w:color="auto"/>
              <w:bottom w:val="single" w:sz="4" w:space="0" w:color="auto"/>
            </w:tcBorders>
          </w:tcPr>
          <w:p w14:paraId="5325A569"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Medium</w:t>
            </w:r>
          </w:p>
        </w:tc>
      </w:tr>
      <w:tr w:rsidR="008B4B3C" w:rsidRPr="008A5334" w14:paraId="509A230F" w14:textId="77777777" w:rsidTr="00BF2179">
        <w:trPr>
          <w:jc w:val="center"/>
        </w:trPr>
        <w:tc>
          <w:tcPr>
            <w:tcW w:w="5000" w:type="pct"/>
            <w:gridSpan w:val="4"/>
            <w:tcBorders>
              <w:top w:val="single" w:sz="4" w:space="0" w:color="auto"/>
              <w:bottom w:val="single" w:sz="4" w:space="0" w:color="auto"/>
            </w:tcBorders>
            <w:shd w:val="clear" w:color="auto" w:fill="D9D9D9" w:themeFill="background1" w:themeFillShade="D9"/>
          </w:tcPr>
          <w:p w14:paraId="64C40FAC"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lastRenderedPageBreak/>
              <w:t>Estimation Uncertainty</w:t>
            </w:r>
          </w:p>
        </w:tc>
      </w:tr>
      <w:tr w:rsidR="008B4B3C" w:rsidRPr="008A5334" w14:paraId="3B7DAF33" w14:textId="77777777" w:rsidTr="00BF2179">
        <w:trPr>
          <w:jc w:val="center"/>
        </w:trPr>
        <w:tc>
          <w:tcPr>
            <w:tcW w:w="1021" w:type="pct"/>
            <w:tcBorders>
              <w:top w:val="single" w:sz="4" w:space="0" w:color="auto"/>
              <w:bottom w:val="single" w:sz="4" w:space="0" w:color="auto"/>
            </w:tcBorders>
          </w:tcPr>
          <w:p w14:paraId="443FCDAA"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Full Bayesian estimation integrating uncertainty over key parameters</w:t>
            </w:r>
          </w:p>
        </w:tc>
        <w:tc>
          <w:tcPr>
            <w:tcW w:w="1014" w:type="pct"/>
            <w:tcBorders>
              <w:top w:val="single" w:sz="4" w:space="0" w:color="auto"/>
              <w:bottom w:val="single" w:sz="4" w:space="0" w:color="auto"/>
            </w:tcBorders>
          </w:tcPr>
          <w:p w14:paraId="5EC1DD14"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Estimated</w:t>
            </w:r>
          </w:p>
        </w:tc>
        <w:tc>
          <w:tcPr>
            <w:tcW w:w="2291" w:type="pct"/>
            <w:tcBorders>
              <w:top w:val="single" w:sz="4" w:space="0" w:color="auto"/>
              <w:bottom w:val="single" w:sz="4" w:space="0" w:color="auto"/>
            </w:tcBorders>
          </w:tcPr>
          <w:p w14:paraId="4E4B3ECD"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Basis for model ensemble</w:t>
            </w:r>
          </w:p>
        </w:tc>
        <w:tc>
          <w:tcPr>
            <w:tcW w:w="674" w:type="pct"/>
            <w:tcBorders>
              <w:top w:val="single" w:sz="4" w:space="0" w:color="auto"/>
              <w:bottom w:val="single" w:sz="4" w:space="0" w:color="auto"/>
            </w:tcBorders>
          </w:tcPr>
          <w:p w14:paraId="37B525F3"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High</w:t>
            </w:r>
          </w:p>
        </w:tc>
      </w:tr>
      <w:tr w:rsidR="008B4B3C" w:rsidRPr="008A5334" w14:paraId="09E63A12" w14:textId="77777777" w:rsidTr="00BF2179">
        <w:trPr>
          <w:jc w:val="center"/>
        </w:trPr>
        <w:tc>
          <w:tcPr>
            <w:tcW w:w="5000" w:type="pct"/>
            <w:gridSpan w:val="4"/>
            <w:tcBorders>
              <w:top w:val="single" w:sz="4" w:space="0" w:color="auto"/>
              <w:bottom w:val="single" w:sz="4" w:space="0" w:color="auto"/>
            </w:tcBorders>
            <w:shd w:val="clear" w:color="auto" w:fill="D9D9D9" w:themeFill="background1" w:themeFillShade="D9"/>
          </w:tcPr>
          <w:p w14:paraId="5FB6FBC9"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Other sources of uncertainty</w:t>
            </w:r>
          </w:p>
        </w:tc>
      </w:tr>
      <w:tr w:rsidR="008B4B3C" w:rsidRPr="008A5334" w14:paraId="394DEDF1" w14:textId="77777777" w:rsidTr="00BF2179">
        <w:trPr>
          <w:jc w:val="center"/>
        </w:trPr>
        <w:tc>
          <w:tcPr>
            <w:tcW w:w="1021" w:type="pct"/>
            <w:tcBorders>
              <w:top w:val="single" w:sz="4" w:space="0" w:color="auto"/>
              <w:bottom w:val="single" w:sz="4" w:space="0" w:color="auto"/>
            </w:tcBorders>
          </w:tcPr>
          <w:p w14:paraId="604E752A"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Genetic sampling of catch in the </w:t>
            </w:r>
            <w:r>
              <w:rPr>
                <w:rFonts w:ascii="Calibri" w:hAnsi="Calibri" w:cs="Calibri"/>
                <w:sz w:val="22"/>
                <w:szCs w:val="22"/>
              </w:rPr>
              <w:t>N</w:t>
            </w:r>
            <w:r w:rsidRPr="008A5334">
              <w:rPr>
                <w:rFonts w:ascii="Calibri" w:hAnsi="Calibri" w:cs="Calibri"/>
                <w:sz w:val="22"/>
                <w:szCs w:val="22"/>
              </w:rPr>
              <w:t xml:space="preserve">orth Pacific indicates </w:t>
            </w:r>
            <w:r>
              <w:rPr>
                <w:rFonts w:ascii="Calibri" w:hAnsi="Calibri" w:cs="Calibri"/>
                <w:sz w:val="22"/>
                <w:szCs w:val="22"/>
              </w:rPr>
              <w:t xml:space="preserve">the </w:t>
            </w:r>
            <w:r w:rsidRPr="008A5334">
              <w:rPr>
                <w:rFonts w:ascii="Calibri" w:hAnsi="Calibri" w:cs="Calibri"/>
                <w:sz w:val="22"/>
                <w:szCs w:val="22"/>
              </w:rPr>
              <w:t>presence of SWPO fish</w:t>
            </w:r>
          </w:p>
        </w:tc>
        <w:tc>
          <w:tcPr>
            <w:tcW w:w="1014" w:type="pct"/>
            <w:tcBorders>
              <w:top w:val="single" w:sz="4" w:space="0" w:color="auto"/>
              <w:bottom w:val="single" w:sz="4" w:space="0" w:color="auto"/>
            </w:tcBorders>
          </w:tcPr>
          <w:p w14:paraId="3CF1C80A"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Not considered</w:t>
            </w:r>
          </w:p>
        </w:tc>
        <w:tc>
          <w:tcPr>
            <w:tcW w:w="2291" w:type="pct"/>
            <w:tcBorders>
              <w:top w:val="single" w:sz="4" w:space="0" w:color="auto"/>
              <w:bottom w:val="single" w:sz="4" w:space="0" w:color="auto"/>
            </w:tcBorders>
          </w:tcPr>
          <w:p w14:paraId="2294042C"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Actual population removals may be under-counted</w:t>
            </w:r>
            <w:r>
              <w:rPr>
                <w:rFonts w:ascii="Calibri" w:hAnsi="Calibri" w:cs="Calibri"/>
                <w:sz w:val="22"/>
                <w:szCs w:val="22"/>
              </w:rPr>
              <w:t>,</w:t>
            </w:r>
            <w:r w:rsidRPr="008A5334">
              <w:rPr>
                <w:rFonts w:ascii="Calibri" w:hAnsi="Calibri" w:cs="Calibri"/>
                <w:sz w:val="22"/>
                <w:szCs w:val="22"/>
              </w:rPr>
              <w:t xml:space="preserve"> impacting scale and stock status</w:t>
            </w:r>
          </w:p>
        </w:tc>
        <w:tc>
          <w:tcPr>
            <w:tcW w:w="674" w:type="pct"/>
            <w:tcBorders>
              <w:top w:val="single" w:sz="4" w:space="0" w:color="auto"/>
              <w:bottom w:val="single" w:sz="4" w:space="0" w:color="auto"/>
            </w:tcBorders>
          </w:tcPr>
          <w:p w14:paraId="2370CBFA"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Low</w:t>
            </w:r>
          </w:p>
        </w:tc>
      </w:tr>
    </w:tbl>
    <w:p w14:paraId="7DAE1242" w14:textId="77777777" w:rsidR="008B4B3C" w:rsidRPr="008A5334" w:rsidRDefault="008B4B3C" w:rsidP="008B4B3C">
      <w:pPr>
        <w:rPr>
          <w:rFonts w:cs="Calibri"/>
        </w:rPr>
      </w:pPr>
    </w:p>
    <w:p w14:paraId="19FF7AC5" w14:textId="77777777" w:rsidR="008B4B3C" w:rsidRPr="008A5334" w:rsidRDefault="008B4B3C" w:rsidP="008B4B3C">
      <w:pPr>
        <w:rPr>
          <w:rFonts w:cs="Calibri"/>
        </w:rPr>
        <w:sectPr w:rsidR="008B4B3C" w:rsidRPr="008A5334" w:rsidSect="008B4B3C">
          <w:pgSz w:w="12240" w:h="15840" w:orient="landscape" w:code="1"/>
          <w:pgMar w:top="1440" w:right="1080" w:bottom="1440" w:left="1080" w:header="720" w:footer="720" w:gutter="0"/>
          <w:cols w:space="720"/>
          <w:docGrid w:linePitch="360"/>
        </w:sectPr>
      </w:pPr>
    </w:p>
    <w:p w14:paraId="791596BA" w14:textId="77777777" w:rsidR="008B4B3C" w:rsidRPr="008A5334" w:rsidRDefault="008B4B3C" w:rsidP="008B4B3C">
      <w:pPr>
        <w:keepNext/>
        <w:rPr>
          <w:rFonts w:cs="Calibri"/>
        </w:rPr>
      </w:pPr>
      <w:r w:rsidRPr="008A5334">
        <w:rPr>
          <w:rFonts w:cs="Calibri"/>
          <w:noProof/>
        </w:rPr>
        <w:lastRenderedPageBreak/>
        <w:drawing>
          <wp:inline distT="0" distB="0" distL="0" distR="0" wp14:anchorId="05D3F026" wp14:editId="4C9507E9">
            <wp:extent cx="5943600" cy="3096260"/>
            <wp:effectExtent l="0" t="0" r="0" b="8890"/>
            <wp:docPr id="1" name="Picture 1"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worl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3096260"/>
                    </a:xfrm>
                    <a:prstGeom prst="rect">
                      <a:avLst/>
                    </a:prstGeom>
                  </pic:spPr>
                </pic:pic>
              </a:graphicData>
            </a:graphic>
          </wp:inline>
        </w:drawing>
      </w:r>
    </w:p>
    <w:p w14:paraId="4C44627E" w14:textId="77777777" w:rsidR="008B4B3C" w:rsidRPr="008A5334" w:rsidRDefault="008B4B3C" w:rsidP="008B4B3C">
      <w:pPr>
        <w:pStyle w:val="Caption"/>
        <w:rPr>
          <w:rFonts w:cs="Calibri"/>
          <w:szCs w:val="22"/>
        </w:rPr>
      </w:pPr>
      <w:bookmarkStart w:id="5" w:name="_Ref206231661"/>
      <w:r w:rsidRPr="008A5334">
        <w:rPr>
          <w:rFonts w:cs="Calibri"/>
          <w:szCs w:val="22"/>
        </w:rPr>
        <w:t>Figure MLS-0</w:t>
      </w:r>
      <w:r w:rsidRPr="008A5334">
        <w:rPr>
          <w:rFonts w:cs="Calibri"/>
          <w:szCs w:val="22"/>
        </w:rPr>
        <w:fldChar w:fldCharType="begin"/>
      </w:r>
      <w:r w:rsidRPr="008A5334">
        <w:rPr>
          <w:rFonts w:cs="Calibri"/>
          <w:szCs w:val="22"/>
        </w:rPr>
        <w:instrText xml:space="preserve"> SEQ Figure \* ARABIC </w:instrText>
      </w:r>
      <w:r w:rsidRPr="008A5334">
        <w:rPr>
          <w:rFonts w:cs="Calibri"/>
          <w:szCs w:val="22"/>
        </w:rPr>
        <w:fldChar w:fldCharType="separate"/>
      </w:r>
      <w:r>
        <w:rPr>
          <w:rFonts w:cs="Calibri"/>
          <w:noProof/>
          <w:szCs w:val="22"/>
        </w:rPr>
        <w:t>1</w:t>
      </w:r>
      <w:r w:rsidRPr="008A5334">
        <w:rPr>
          <w:rFonts w:cs="Calibri"/>
          <w:szCs w:val="22"/>
        </w:rPr>
        <w:fldChar w:fldCharType="end"/>
      </w:r>
      <w:bookmarkEnd w:id="5"/>
      <w:r w:rsidRPr="008A5334">
        <w:rPr>
          <w:rFonts w:cs="Calibri"/>
          <w:szCs w:val="22"/>
        </w:rPr>
        <w:t xml:space="preserve"> </w:t>
      </w:r>
      <w:r w:rsidRPr="008A5334">
        <w:rPr>
          <w:rFonts w:cs="Calibri"/>
          <w:bCs/>
          <w:szCs w:val="22"/>
        </w:rPr>
        <w:t>Assessment model spatial domain, noting that no sub-fleets or regions were used.</w:t>
      </w:r>
    </w:p>
    <w:p w14:paraId="76835E9A" w14:textId="77777777" w:rsidR="008B4B3C" w:rsidRPr="008A5334" w:rsidRDefault="008B4B3C" w:rsidP="008B4B3C">
      <w:pPr>
        <w:rPr>
          <w:rFonts w:cs="Calibri"/>
        </w:rPr>
      </w:pPr>
    </w:p>
    <w:p w14:paraId="28D12A31" w14:textId="77777777" w:rsidR="008B4B3C" w:rsidRPr="008A5334" w:rsidRDefault="008B4B3C" w:rsidP="008B4B3C">
      <w:pPr>
        <w:rPr>
          <w:rFonts w:cs="Calibri"/>
        </w:rPr>
      </w:pPr>
    </w:p>
    <w:p w14:paraId="7B4C512B" w14:textId="77777777" w:rsidR="008B4B3C" w:rsidRPr="008A5334" w:rsidRDefault="008B4B3C" w:rsidP="008B4B3C">
      <w:pPr>
        <w:keepNext/>
        <w:rPr>
          <w:rFonts w:cs="Calibri"/>
        </w:rPr>
      </w:pPr>
      <w:r w:rsidRPr="008A5334">
        <w:rPr>
          <w:rFonts w:cs="Calibri"/>
          <w:noProof/>
        </w:rPr>
        <w:drawing>
          <wp:inline distT="0" distB="0" distL="0" distR="0" wp14:anchorId="469E055D" wp14:editId="0C5D587A">
            <wp:extent cx="5943600" cy="3618865"/>
            <wp:effectExtent l="0" t="0" r="0" b="635"/>
            <wp:docPr id="2" name="Picture 2" descr="A graph of progress and prog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progress and progres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3618865"/>
                    </a:xfrm>
                    <a:prstGeom prst="rect">
                      <a:avLst/>
                    </a:prstGeom>
                  </pic:spPr>
                </pic:pic>
              </a:graphicData>
            </a:graphic>
          </wp:inline>
        </w:drawing>
      </w:r>
    </w:p>
    <w:p w14:paraId="39D2E7BE" w14:textId="77777777" w:rsidR="008B4B3C" w:rsidRPr="008A5334" w:rsidRDefault="008B4B3C" w:rsidP="008B4B3C">
      <w:pPr>
        <w:pStyle w:val="Caption"/>
        <w:jc w:val="both"/>
        <w:rPr>
          <w:rFonts w:cs="Calibri"/>
          <w:i w:val="0"/>
          <w:iCs w:val="0"/>
          <w:szCs w:val="22"/>
        </w:rPr>
      </w:pPr>
      <w:bookmarkStart w:id="6" w:name="_Ref206231731"/>
      <w:r w:rsidRPr="008A5334">
        <w:rPr>
          <w:rFonts w:cs="Calibri"/>
          <w:bCs/>
          <w:szCs w:val="22"/>
        </w:rPr>
        <w:t>Figure MLS-0</w:t>
      </w:r>
      <w:r w:rsidRPr="008A5334">
        <w:rPr>
          <w:rFonts w:cs="Calibri"/>
          <w:b/>
          <w:bCs/>
          <w:szCs w:val="22"/>
        </w:rPr>
        <w:fldChar w:fldCharType="begin"/>
      </w:r>
      <w:r w:rsidRPr="008A5334">
        <w:rPr>
          <w:rFonts w:cs="Calibri"/>
          <w:bCs/>
          <w:szCs w:val="22"/>
        </w:rPr>
        <w:instrText xml:space="preserve"> SEQ Figure \* ARABIC </w:instrText>
      </w:r>
      <w:r w:rsidRPr="008A5334">
        <w:rPr>
          <w:rFonts w:cs="Calibri"/>
          <w:b/>
          <w:bCs/>
          <w:szCs w:val="22"/>
        </w:rPr>
        <w:fldChar w:fldCharType="separate"/>
      </w:r>
      <w:r>
        <w:rPr>
          <w:rFonts w:cs="Calibri"/>
          <w:bCs/>
          <w:noProof/>
          <w:szCs w:val="22"/>
        </w:rPr>
        <w:t>2</w:t>
      </w:r>
      <w:r w:rsidRPr="008A5334">
        <w:rPr>
          <w:rFonts w:cs="Calibri"/>
          <w:b/>
          <w:bCs/>
          <w:szCs w:val="22"/>
        </w:rPr>
        <w:fldChar w:fldCharType="end"/>
      </w:r>
      <w:bookmarkEnd w:id="6"/>
      <w:r w:rsidRPr="008A5334">
        <w:rPr>
          <w:rFonts w:cs="Calibri"/>
          <w:szCs w:val="22"/>
        </w:rPr>
        <w:t xml:space="preserve"> </w:t>
      </w:r>
      <w:r w:rsidRPr="008A5334">
        <w:rPr>
          <w:rFonts w:cs="Calibri"/>
          <w:bCs/>
          <w:szCs w:val="22"/>
        </w:rPr>
        <w:t>Annual catch (numbers; individuals) of striped marlin and nominal longline effort (hooks fished; thousands) in the Southwest Pacific Ocean (1952-2022).</w:t>
      </w:r>
    </w:p>
    <w:p w14:paraId="6B112715" w14:textId="77777777" w:rsidR="008B4B3C" w:rsidRPr="008A5334" w:rsidRDefault="008B4B3C" w:rsidP="008B4B3C">
      <w:pPr>
        <w:keepNext/>
        <w:jc w:val="center"/>
        <w:rPr>
          <w:rFonts w:cs="Calibri"/>
        </w:rPr>
      </w:pPr>
      <w:r w:rsidRPr="008A5334">
        <w:rPr>
          <w:rFonts w:cs="Calibri"/>
          <w:noProof/>
        </w:rPr>
        <w:lastRenderedPageBreak/>
        <w:drawing>
          <wp:inline distT="0" distB="0" distL="0" distR="0" wp14:anchorId="44EBB8A0" wp14:editId="74180A32">
            <wp:extent cx="5332781" cy="3555187"/>
            <wp:effectExtent l="0" t="0" r="1270" b="7620"/>
            <wp:docPr id="3" name="Picture 3" descr="A graph showing the results of a model r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showing the results of a model run&#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4950" cy="3556633"/>
                    </a:xfrm>
                    <a:prstGeom prst="rect">
                      <a:avLst/>
                    </a:prstGeom>
                  </pic:spPr>
                </pic:pic>
              </a:graphicData>
            </a:graphic>
          </wp:inline>
        </w:drawing>
      </w:r>
    </w:p>
    <w:p w14:paraId="0C154047" w14:textId="77777777" w:rsidR="008B4B3C" w:rsidRPr="008A5334" w:rsidRDefault="008B4B3C" w:rsidP="008B4B3C">
      <w:pPr>
        <w:pStyle w:val="Caption"/>
        <w:jc w:val="both"/>
        <w:rPr>
          <w:rFonts w:cs="Calibri"/>
          <w:szCs w:val="22"/>
        </w:rPr>
      </w:pPr>
      <w:bookmarkStart w:id="7" w:name="_Ref206231743"/>
      <w:r w:rsidRPr="008A5334">
        <w:rPr>
          <w:rFonts w:cs="Calibri"/>
          <w:bCs/>
          <w:szCs w:val="22"/>
        </w:rPr>
        <w:t>Figure MLS-0</w:t>
      </w:r>
      <w:r w:rsidRPr="008A5334">
        <w:rPr>
          <w:rFonts w:cs="Calibri"/>
          <w:b/>
          <w:bCs/>
          <w:szCs w:val="22"/>
        </w:rPr>
        <w:fldChar w:fldCharType="begin"/>
      </w:r>
      <w:r w:rsidRPr="008A5334">
        <w:rPr>
          <w:rFonts w:cs="Calibri"/>
          <w:bCs/>
          <w:szCs w:val="22"/>
        </w:rPr>
        <w:instrText xml:space="preserve"> SEQ Figure \* ARABIC </w:instrText>
      </w:r>
      <w:r w:rsidRPr="008A5334">
        <w:rPr>
          <w:rFonts w:cs="Calibri"/>
          <w:b/>
          <w:bCs/>
          <w:szCs w:val="22"/>
        </w:rPr>
        <w:fldChar w:fldCharType="separate"/>
      </w:r>
      <w:r>
        <w:rPr>
          <w:rFonts w:cs="Calibri"/>
          <w:bCs/>
          <w:noProof/>
          <w:szCs w:val="22"/>
        </w:rPr>
        <w:t>3</w:t>
      </w:r>
      <w:r w:rsidRPr="008A5334">
        <w:rPr>
          <w:rFonts w:cs="Calibri"/>
          <w:b/>
          <w:bCs/>
          <w:szCs w:val="22"/>
        </w:rPr>
        <w:fldChar w:fldCharType="end"/>
      </w:r>
      <w:bookmarkEnd w:id="7"/>
      <w:r w:rsidRPr="008A5334">
        <w:rPr>
          <w:rFonts w:cs="Calibri"/>
          <w:szCs w:val="22"/>
        </w:rPr>
        <w:t xml:space="preserve"> </w:t>
      </w:r>
      <w:r w:rsidRPr="008A5334">
        <w:rPr>
          <w:rFonts w:cs="Calibri"/>
          <w:bCs/>
          <w:szCs w:val="22"/>
        </w:rPr>
        <w:t xml:space="preserve">Model fit to standardized index data showing observations (black points with 95% error bars) and </w:t>
      </w:r>
      <w:r>
        <w:rPr>
          <w:rFonts w:cs="Calibri"/>
          <w:bCs/>
          <w:szCs w:val="22"/>
        </w:rPr>
        <w:t>model predictions</w:t>
      </w:r>
      <w:r w:rsidRPr="008A5334">
        <w:rPr>
          <w:rFonts w:cs="Calibri"/>
          <w:bCs/>
          <w:szCs w:val="22"/>
        </w:rPr>
        <w:t xml:space="preserve"> (colored lines and shaded ribbons representing 95% credible intervals). The diagnostic model </w:t>
      </w:r>
      <w:proofErr w:type="gramStart"/>
      <w:r w:rsidRPr="008A5334">
        <w:rPr>
          <w:rFonts w:cs="Calibri"/>
          <w:bCs/>
          <w:szCs w:val="22"/>
        </w:rPr>
        <w:t>( 0100</w:t>
      </w:r>
      <w:proofErr w:type="gramEnd"/>
      <w:r w:rsidRPr="008A5334">
        <w:rPr>
          <w:rFonts w:cs="Calibri"/>
          <w:bCs/>
          <w:szCs w:val="22"/>
        </w:rPr>
        <w:t xml:space="preserve"> ) is shown in orange.</w:t>
      </w:r>
    </w:p>
    <w:p w14:paraId="264F89C9" w14:textId="77777777" w:rsidR="008B4B3C" w:rsidRPr="008A5334" w:rsidRDefault="008B4B3C" w:rsidP="008B4B3C">
      <w:pPr>
        <w:rPr>
          <w:rFonts w:cs="Calibri"/>
          <w:i/>
          <w:iCs/>
        </w:rPr>
      </w:pPr>
    </w:p>
    <w:p w14:paraId="54659B04" w14:textId="77777777" w:rsidR="008B4B3C" w:rsidRPr="008A5334" w:rsidRDefault="008B4B3C" w:rsidP="008B4B3C">
      <w:pPr>
        <w:keepNext/>
        <w:rPr>
          <w:rFonts w:cs="Calibri"/>
        </w:rPr>
      </w:pPr>
      <w:r w:rsidRPr="008A5334">
        <w:rPr>
          <w:rFonts w:cs="Calibri"/>
          <w:noProof/>
        </w:rPr>
        <w:drawing>
          <wp:inline distT="0" distB="0" distL="0" distR="0" wp14:anchorId="5909C8D6" wp14:editId="594C241D">
            <wp:extent cx="5943600" cy="2971800"/>
            <wp:effectExtent l="0" t="0" r="0" b="0"/>
            <wp:docPr id="4" name="Picture 4"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graphs showing different types of data&#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8F8CEBB" w14:textId="77777777" w:rsidR="008B4B3C" w:rsidRPr="008A5334" w:rsidRDefault="008B4B3C" w:rsidP="008B4B3C">
      <w:pPr>
        <w:pStyle w:val="Caption"/>
        <w:jc w:val="both"/>
        <w:rPr>
          <w:rFonts w:cs="Calibri"/>
          <w:b/>
          <w:bCs/>
          <w:i w:val="0"/>
          <w:iCs w:val="0"/>
          <w:szCs w:val="22"/>
        </w:rPr>
      </w:pPr>
      <w:bookmarkStart w:id="8" w:name="_Ref206231752"/>
      <w:r w:rsidRPr="008A5334">
        <w:rPr>
          <w:rFonts w:cs="Calibri"/>
          <w:bCs/>
          <w:szCs w:val="22"/>
        </w:rPr>
        <w:t>Figure MLS-0</w:t>
      </w:r>
      <w:r w:rsidRPr="008A5334">
        <w:rPr>
          <w:rFonts w:cs="Calibri"/>
          <w:b/>
          <w:bCs/>
          <w:szCs w:val="22"/>
        </w:rPr>
        <w:fldChar w:fldCharType="begin"/>
      </w:r>
      <w:r w:rsidRPr="008A5334">
        <w:rPr>
          <w:rFonts w:cs="Calibri"/>
          <w:bCs/>
          <w:szCs w:val="22"/>
        </w:rPr>
        <w:instrText xml:space="preserve"> SEQ Figure \* ARABIC </w:instrText>
      </w:r>
      <w:r w:rsidRPr="008A5334">
        <w:rPr>
          <w:rFonts w:cs="Calibri"/>
          <w:b/>
          <w:bCs/>
          <w:szCs w:val="22"/>
        </w:rPr>
        <w:fldChar w:fldCharType="separate"/>
      </w:r>
      <w:r>
        <w:rPr>
          <w:rFonts w:cs="Calibri"/>
          <w:bCs/>
          <w:noProof/>
          <w:szCs w:val="22"/>
        </w:rPr>
        <w:t>4</w:t>
      </w:r>
      <w:r w:rsidRPr="008A5334">
        <w:rPr>
          <w:rFonts w:cs="Calibri"/>
          <w:b/>
          <w:bCs/>
          <w:szCs w:val="22"/>
        </w:rPr>
        <w:fldChar w:fldCharType="end"/>
      </w:r>
      <w:bookmarkEnd w:id="8"/>
      <w:r w:rsidRPr="008A5334">
        <w:rPr>
          <w:rFonts w:cs="Calibri"/>
          <w:szCs w:val="22"/>
        </w:rPr>
        <w:t xml:space="preserve"> </w:t>
      </w:r>
      <w:r w:rsidRPr="008A5334">
        <w:rPr>
          <w:rFonts w:cs="Calibri"/>
          <w:bCs/>
          <w:szCs w:val="22"/>
        </w:rPr>
        <w:t>Posterior time series distributions for key derived quantities over time (line = median, shading = 95% credible interval): depletion (D), absolute population size in numbers (P), fishing mortality (F), stock status relative to MSY reference points (</w:t>
      </w:r>
      <m:oMath>
        <m:r>
          <m:rPr>
            <m:sty m:val="bi"/>
          </m:rPr>
          <w:rPr>
            <w:rFonts w:ascii="Cambria Math" w:hAnsi="Cambria Math" w:cs="Calibri"/>
            <w:szCs w:val="22"/>
          </w:rPr>
          <m:t>D/</m:t>
        </m:r>
        <m:sSub>
          <m:sSubPr>
            <m:ctrlPr>
              <w:rPr>
                <w:rFonts w:ascii="Cambria Math" w:hAnsi="Cambria Math" w:cs="Calibri"/>
                <w:bCs/>
                <w:szCs w:val="22"/>
              </w:rPr>
            </m:ctrlPr>
          </m:sSubPr>
          <m:e>
            <m:r>
              <m:rPr>
                <m:sty m:val="bi"/>
              </m:rPr>
              <w:rPr>
                <w:rFonts w:ascii="Cambria Math" w:hAnsi="Cambria Math" w:cs="Calibri"/>
                <w:szCs w:val="22"/>
              </w:rPr>
              <m:t>D</m:t>
            </m:r>
          </m:e>
          <m:sub>
            <m:r>
              <m:rPr>
                <m:sty m:val="bi"/>
              </m:rPr>
              <w:rPr>
                <w:rFonts w:ascii="Cambria Math" w:hAnsi="Cambria Math" w:cs="Calibri"/>
                <w:szCs w:val="22"/>
              </w:rPr>
              <m:t>MSY</m:t>
            </m:r>
          </m:sub>
        </m:sSub>
      </m:oMath>
      <w:r w:rsidRPr="008A5334">
        <w:rPr>
          <w:rFonts w:cs="Calibri"/>
          <w:bCs/>
          <w:szCs w:val="22"/>
        </w:rPr>
        <w:t xml:space="preserve"> , </w:t>
      </w:r>
      <m:oMath>
        <m:r>
          <m:rPr>
            <m:sty m:val="bi"/>
          </m:rPr>
          <w:rPr>
            <w:rFonts w:ascii="Cambria Math" w:hAnsi="Cambria Math" w:cs="Calibri"/>
            <w:szCs w:val="22"/>
          </w:rPr>
          <m:t>F/</m:t>
        </m:r>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Cs/>
          <w:szCs w:val="22"/>
        </w:rPr>
        <w:t xml:space="preserve"> ), total removals in numbers, process error, nominal CPUE (numbers caught per 1000 hooks), and catchability deviates. The model ensemble is shown in orange.</w:t>
      </w:r>
    </w:p>
    <w:p w14:paraId="5C1FB373" w14:textId="77777777" w:rsidR="008B4B3C" w:rsidRPr="008A5334" w:rsidRDefault="008B4B3C" w:rsidP="008B4B3C">
      <w:pPr>
        <w:pStyle w:val="SCtext"/>
        <w:ind w:left="0" w:firstLine="0"/>
        <w:rPr>
          <w:rFonts w:cs="Calibri"/>
        </w:rPr>
      </w:pPr>
    </w:p>
    <w:p w14:paraId="4734229C" w14:textId="77777777" w:rsidR="008B4B3C" w:rsidRPr="008A5334" w:rsidRDefault="008B4B3C" w:rsidP="008B4B3C">
      <w:pPr>
        <w:pStyle w:val="ListParagraph"/>
        <w:widowControl w:val="0"/>
        <w:numPr>
          <w:ilvl w:val="0"/>
          <w:numId w:val="38"/>
        </w:numPr>
        <w:kinsoku w:val="0"/>
        <w:overflowPunct w:val="0"/>
        <w:autoSpaceDE w:val="0"/>
        <w:autoSpaceDN w:val="0"/>
        <w:adjustRightInd w:val="0"/>
        <w:snapToGrid w:val="0"/>
        <w:ind w:left="0" w:firstLine="0"/>
        <w:contextualSpacing w:val="0"/>
        <w:rPr>
          <w:rFonts w:cs="Calibri"/>
          <w:b/>
          <w:lang w:eastAsia="ko-KR"/>
        </w:rPr>
      </w:pPr>
      <w:r w:rsidRPr="008A5334">
        <w:rPr>
          <w:rFonts w:cs="Calibri"/>
          <w:b/>
          <w:lang w:eastAsia="ko-KR"/>
        </w:rPr>
        <w:t>Stock status</w:t>
      </w:r>
    </w:p>
    <w:p w14:paraId="3620A0BA" w14:textId="77777777" w:rsidR="008B4B3C" w:rsidRPr="0058490B" w:rsidRDefault="008B4B3C" w:rsidP="008B4B3C">
      <w:pPr>
        <w:pStyle w:val="ListParagraph"/>
        <w:widowControl w:val="0"/>
        <w:kinsoku w:val="0"/>
        <w:overflowPunct w:val="0"/>
        <w:autoSpaceDE w:val="0"/>
        <w:autoSpaceDN w:val="0"/>
        <w:adjustRightInd w:val="0"/>
        <w:snapToGrid w:val="0"/>
        <w:ind w:left="1080"/>
        <w:rPr>
          <w:rFonts w:cs="Calibri"/>
          <w:b/>
          <w:lang w:eastAsia="ko-KR"/>
        </w:rPr>
      </w:pPr>
    </w:p>
    <w:p w14:paraId="1CC2C22F" w14:textId="77777777" w:rsidR="008B4B3C" w:rsidRPr="0058490B" w:rsidRDefault="008B4B3C" w:rsidP="008B4B3C">
      <w:pPr>
        <w:pStyle w:val="SCtext"/>
        <w:widowControl w:val="0"/>
        <w:numPr>
          <w:ilvl w:val="0"/>
          <w:numId w:val="2"/>
        </w:numPr>
        <w:kinsoku w:val="0"/>
        <w:overflowPunct w:val="0"/>
        <w:ind w:left="0" w:firstLine="0"/>
        <w:rPr>
          <w:rFonts w:cs="Calibri"/>
        </w:rPr>
      </w:pPr>
      <w:r w:rsidRPr="0058490B">
        <w:rPr>
          <w:rFonts w:cs="Calibri"/>
        </w:rPr>
        <w:t>SWPO striped marlin lacks formal, agreed-upon reference points, so stock status</w:t>
      </w:r>
      <w:bookmarkStart w:id="9" w:name="_Hlk213047769"/>
      <w:r w:rsidRPr="0058490B">
        <w:rPr>
          <w:rFonts w:cs="Calibri"/>
        </w:rPr>
        <w:t xml:space="preserve"> (</w:t>
      </w:r>
      <w:r w:rsidRPr="0058490B">
        <w:rPr>
          <w:rFonts w:cs="Calibri"/>
          <w:b/>
          <w:bCs/>
        </w:rPr>
        <w:t xml:space="preserve">Table MLS-03) </w:t>
      </w:r>
      <w:bookmarkEnd w:id="9"/>
      <w:r w:rsidRPr="0058490B">
        <w:rPr>
          <w:rFonts w:cs="Calibri"/>
        </w:rPr>
        <w:t>was summarized using MSY-based reference points and total depletion relative to the generalized limit reference point of 20% total depletion from the unfished state (</w:t>
      </w:r>
      <m:oMath>
        <m:r>
          <w:rPr>
            <w:rFonts w:ascii="Cambria Math" w:hAnsi="Cambria Math" w:cs="Calibri"/>
          </w:rPr>
          <m:t>D/</m:t>
        </m:r>
        <m:sSub>
          <m:sSubPr>
            <m:ctrlPr>
              <w:rPr>
                <w:rFonts w:ascii="Cambria Math" w:hAnsi="Cambria Math" w:cs="Calibri"/>
                <w:i/>
              </w:rPr>
            </m:ctrlPr>
          </m:sSubPr>
          <m:e>
            <m:r>
              <w:rPr>
                <w:rFonts w:ascii="Cambria Math" w:hAnsi="Cambria Math" w:cs="Calibri"/>
              </w:rPr>
              <m:t>D</m:t>
            </m:r>
          </m:e>
          <m:sub>
            <m:r>
              <w:rPr>
                <w:rFonts w:ascii="Cambria Math" w:hAnsi="Cambria Math" w:cs="Calibri"/>
              </w:rPr>
              <m:t>0.2,F=0</m:t>
            </m:r>
          </m:sub>
        </m:sSub>
      </m:oMath>
      <w:r w:rsidRPr="0058490B">
        <w:rPr>
          <w:rFonts w:cs="Calibri"/>
        </w:rPr>
        <w:t xml:space="preserve">). </w:t>
      </w:r>
    </w:p>
    <w:p w14:paraId="76A04AE8" w14:textId="77777777" w:rsidR="008B4B3C" w:rsidRPr="0058490B" w:rsidRDefault="008B4B3C" w:rsidP="008B4B3C">
      <w:pPr>
        <w:pStyle w:val="SCtext"/>
        <w:ind w:left="0" w:firstLine="0"/>
        <w:rPr>
          <w:rFonts w:cs="Calibri"/>
        </w:rPr>
      </w:pPr>
    </w:p>
    <w:p w14:paraId="7E668B35" w14:textId="77777777" w:rsidR="008B4B3C" w:rsidRPr="0058490B" w:rsidRDefault="008B4B3C" w:rsidP="008B4B3C">
      <w:pPr>
        <w:pStyle w:val="SCtext"/>
        <w:widowControl w:val="0"/>
        <w:numPr>
          <w:ilvl w:val="0"/>
          <w:numId w:val="2"/>
        </w:numPr>
        <w:kinsoku w:val="0"/>
        <w:overflowPunct w:val="0"/>
        <w:ind w:left="0" w:firstLine="0"/>
        <w:rPr>
          <w:rFonts w:cs="Calibri"/>
          <w:b/>
          <w:bCs/>
        </w:rPr>
      </w:pPr>
      <w:sdt>
        <w:sdtPr>
          <w:rPr>
            <w:rFonts w:cs="Calibri"/>
          </w:rPr>
          <w:tag w:val="goog_rdk_88"/>
          <w:id w:val="-1279836398"/>
        </w:sdtPr>
        <w:sdtEndPr>
          <w:rPr>
            <w:b/>
            <w:bCs/>
          </w:rPr>
        </w:sdtEndPr>
        <w:sdtContent>
          <w:sdt>
            <w:sdtPr>
              <w:rPr>
                <w:rFonts w:cs="Calibri"/>
              </w:rPr>
              <w:tag w:val="goog_rdk_89"/>
              <w:id w:val="548525251"/>
            </w:sdtPr>
            <w:sdtEndPr>
              <w:rPr>
                <w:b/>
                <w:bCs/>
              </w:rPr>
            </w:sdtEndPr>
            <w:sdtContent>
              <w:r w:rsidRPr="0058490B">
                <w:rPr>
                  <w:rFonts w:cs="Calibri"/>
                  <w:b/>
                  <w:bCs/>
                </w:rPr>
                <w:t>Median recent fishing mortality was below F</w:t>
              </w:r>
            </w:sdtContent>
          </w:sdt>
          <w:sdt>
            <w:sdtPr>
              <w:rPr>
                <w:rFonts w:cs="Calibri"/>
                <w:b/>
                <w:bCs/>
              </w:rPr>
              <w:tag w:val="goog_rdk_90"/>
              <w:id w:val="393451861"/>
            </w:sdtPr>
            <w:sdtContent>
              <w:r w:rsidRPr="0058490B">
                <w:rPr>
                  <w:rFonts w:cs="Calibri"/>
                  <w:b/>
                  <w:bCs/>
                  <w:vertAlign w:val="subscript"/>
                </w:rPr>
                <w:t>MSY</w:t>
              </w:r>
            </w:sdtContent>
          </w:sdt>
          <w:sdt>
            <w:sdtPr>
              <w:rPr>
                <w:rFonts w:cs="Calibri"/>
                <w:b/>
                <w:bCs/>
              </w:rPr>
              <w:tag w:val="goog_rdk_91"/>
              <w:id w:val="312925174"/>
            </w:sdtPr>
            <w:sdtContent>
              <w:r w:rsidRPr="0058490B">
                <w:rPr>
                  <w:rFonts w:cs="Calibri"/>
                  <w:b/>
                  <w:bCs/>
                </w:rPr>
                <w:t xml:space="preserve"> (</w:t>
              </w:r>
              <w:proofErr w:type="spellStart"/>
              <w:r w:rsidRPr="0058490B">
                <w:rPr>
                  <w:rFonts w:cs="Calibri"/>
                  <w:b/>
                  <w:bCs/>
                </w:rPr>
                <w:t>F</w:t>
              </w:r>
            </w:sdtContent>
          </w:sdt>
          <w:sdt>
            <w:sdtPr>
              <w:rPr>
                <w:rFonts w:cs="Calibri"/>
                <w:b/>
                <w:bCs/>
              </w:rPr>
              <w:tag w:val="goog_rdk_92"/>
              <w:id w:val="659332676"/>
            </w:sdtPr>
            <w:sdtContent>
              <w:r w:rsidRPr="0058490B">
                <w:rPr>
                  <w:rFonts w:cs="Calibri"/>
                  <w:b/>
                  <w:bCs/>
                  <w:vertAlign w:val="subscript"/>
                </w:rPr>
                <w:t>recent</w:t>
              </w:r>
              <w:proofErr w:type="spellEnd"/>
            </w:sdtContent>
          </w:sdt>
          <w:sdt>
            <w:sdtPr>
              <w:rPr>
                <w:rFonts w:cs="Calibri"/>
                <w:b/>
                <w:bCs/>
              </w:rPr>
              <w:tag w:val="goog_rdk_93"/>
              <w:id w:val="-1390489474"/>
            </w:sdtPr>
            <w:sdtContent>
              <w:r w:rsidRPr="0058490B">
                <w:rPr>
                  <w:rFonts w:cs="Calibri"/>
                  <w:b/>
                  <w:bCs/>
                </w:rPr>
                <w:t>/F</w:t>
              </w:r>
            </w:sdtContent>
          </w:sdt>
          <w:sdt>
            <w:sdtPr>
              <w:rPr>
                <w:rFonts w:cs="Calibri"/>
                <w:b/>
                <w:bCs/>
              </w:rPr>
              <w:tag w:val="goog_rdk_94"/>
              <w:id w:val="-1578090452"/>
            </w:sdtPr>
            <w:sdtContent>
              <w:r w:rsidRPr="0058490B">
                <w:rPr>
                  <w:rFonts w:cs="Calibri"/>
                  <w:b/>
                  <w:bCs/>
                  <w:vertAlign w:val="subscript"/>
                </w:rPr>
                <w:t>MSY</w:t>
              </w:r>
            </w:sdtContent>
          </w:sdt>
          <w:sdt>
            <w:sdtPr>
              <w:rPr>
                <w:rFonts w:cs="Calibri"/>
                <w:b/>
                <w:bCs/>
              </w:rPr>
              <w:tag w:val="goog_rdk_95"/>
              <w:id w:val="-1401015745"/>
            </w:sdtPr>
            <w:sdtContent>
              <w:r w:rsidRPr="0058490B">
                <w:rPr>
                  <w:rFonts w:cs="Calibri"/>
                  <w:b/>
                  <w:bCs/>
                </w:rPr>
                <w:t xml:space="preserve"> = 0.77 with a 95% range of 0.05-1.51 and a 22.9% probability of </w:t>
              </w:r>
              <w:proofErr w:type="spellStart"/>
              <w:r w:rsidRPr="0058490B">
                <w:rPr>
                  <w:rFonts w:cs="Calibri"/>
                  <w:b/>
                  <w:bCs/>
                </w:rPr>
                <w:t>F</w:t>
              </w:r>
            </w:sdtContent>
          </w:sdt>
          <w:sdt>
            <w:sdtPr>
              <w:rPr>
                <w:rFonts w:cs="Calibri"/>
                <w:b/>
                <w:bCs/>
              </w:rPr>
              <w:tag w:val="goog_rdk_96"/>
              <w:id w:val="-2132555966"/>
            </w:sdtPr>
            <w:sdtContent>
              <w:r w:rsidRPr="0058490B">
                <w:rPr>
                  <w:rFonts w:cs="Calibri"/>
                  <w:b/>
                  <w:bCs/>
                  <w:vertAlign w:val="subscript"/>
                </w:rPr>
                <w:t>recent</w:t>
              </w:r>
              <w:proofErr w:type="spellEnd"/>
            </w:sdtContent>
          </w:sdt>
          <w:sdt>
            <w:sdtPr>
              <w:rPr>
                <w:rFonts w:cs="Calibri"/>
                <w:b/>
                <w:bCs/>
              </w:rPr>
              <w:tag w:val="goog_rdk_97"/>
              <w:id w:val="-1934418236"/>
            </w:sdtPr>
            <w:sdtContent>
              <w:r w:rsidRPr="0058490B">
                <w:rPr>
                  <w:rFonts w:cs="Calibri"/>
                  <w:b/>
                  <w:bCs/>
                </w:rPr>
                <w:t xml:space="preserve"> exceeding F</w:t>
              </w:r>
            </w:sdtContent>
          </w:sdt>
          <w:sdt>
            <w:sdtPr>
              <w:rPr>
                <w:rFonts w:cs="Calibri"/>
                <w:b/>
                <w:bCs/>
              </w:rPr>
              <w:tag w:val="goog_rdk_98"/>
              <w:id w:val="1625603546"/>
            </w:sdtPr>
            <w:sdtContent>
              <w:r w:rsidRPr="0058490B">
                <w:rPr>
                  <w:rFonts w:cs="Calibri"/>
                  <w:b/>
                  <w:bCs/>
                  <w:vertAlign w:val="subscript"/>
                </w:rPr>
                <w:t>MSY</w:t>
              </w:r>
            </w:sdtContent>
          </w:sdt>
          <w:sdt>
            <w:sdtPr>
              <w:rPr>
                <w:rFonts w:cs="Calibri"/>
                <w:b/>
                <w:bCs/>
              </w:rPr>
              <w:tag w:val="goog_rdk_99"/>
              <w:id w:val="-2019388902"/>
            </w:sdtPr>
            <w:sdtContent>
              <w:r w:rsidRPr="0058490B">
                <w:rPr>
                  <w:rFonts w:cs="Calibri"/>
                  <w:b/>
                  <w:bCs/>
                </w:rPr>
                <w:t xml:space="preserve">.  Figure MLS-06) indicating the stock was unlikely to be subject to overfishing. </w:t>
              </w:r>
            </w:sdtContent>
          </w:sdt>
        </w:sdtContent>
      </w:sdt>
    </w:p>
    <w:p w14:paraId="3EF763DE" w14:textId="77777777" w:rsidR="008B4B3C" w:rsidRPr="0058490B" w:rsidRDefault="008B4B3C" w:rsidP="008B4B3C">
      <w:pPr>
        <w:rPr>
          <w:rFonts w:cs="Calibri"/>
        </w:rPr>
      </w:pPr>
    </w:p>
    <w:sdt>
      <w:sdtPr>
        <w:rPr>
          <w:rFonts w:cs="Calibri"/>
        </w:rPr>
        <w:tag w:val="goog_rdk_111"/>
        <w:id w:val="385103730"/>
      </w:sdtPr>
      <w:sdtEndPr>
        <w:rPr>
          <w:b/>
          <w:bCs/>
        </w:rPr>
      </w:sdtEndPr>
      <w:sdtContent>
        <w:p w14:paraId="33BF1FFA" w14:textId="77777777" w:rsidR="008B4B3C" w:rsidRPr="0058490B" w:rsidRDefault="008B4B3C" w:rsidP="008B4B3C">
          <w:pPr>
            <w:pStyle w:val="SCtext"/>
            <w:widowControl w:val="0"/>
            <w:numPr>
              <w:ilvl w:val="0"/>
              <w:numId w:val="2"/>
            </w:numPr>
            <w:kinsoku w:val="0"/>
            <w:overflowPunct w:val="0"/>
            <w:ind w:left="0" w:firstLine="0"/>
            <w:rPr>
              <w:rFonts w:cs="Calibri"/>
              <w:b/>
              <w:bCs/>
            </w:rPr>
          </w:pPr>
          <w:sdt>
            <w:sdtPr>
              <w:rPr>
                <w:rFonts w:cs="Calibri"/>
              </w:rPr>
              <w:tag w:val="goog_rdk_101"/>
              <w:id w:val="1080513245"/>
            </w:sdtPr>
            <w:sdtEndPr>
              <w:rPr>
                <w:b/>
                <w:bCs/>
              </w:rPr>
            </w:sdtEndPr>
            <w:sdtContent>
              <w:sdt>
                <w:sdtPr>
                  <w:rPr>
                    <w:rFonts w:cs="Calibri"/>
                  </w:rPr>
                  <w:tag w:val="goog_rdk_102"/>
                  <w:id w:val="-867992017"/>
                </w:sdtPr>
                <w:sdtEndPr>
                  <w:rPr>
                    <w:b/>
                    <w:bCs/>
                  </w:rPr>
                </w:sdtEndPr>
                <w:sdtContent>
                  <w:r w:rsidRPr="0058490B">
                    <w:rPr>
                      <w:rFonts w:cs="Calibri"/>
                      <w:b/>
                      <w:bCs/>
                    </w:rPr>
                    <w:t>Median recent stock abundance was below D</w:t>
                  </w:r>
                </w:sdtContent>
              </w:sdt>
              <w:sdt>
                <w:sdtPr>
                  <w:rPr>
                    <w:rFonts w:cs="Calibri"/>
                    <w:b/>
                    <w:bCs/>
                  </w:rPr>
                  <w:tag w:val="goog_rdk_103"/>
                  <w:id w:val="-2001193745"/>
                </w:sdtPr>
                <w:sdtContent>
                  <w:r w:rsidRPr="0058490B">
                    <w:rPr>
                      <w:rFonts w:cs="Calibri"/>
                      <w:b/>
                      <w:bCs/>
                      <w:vertAlign w:val="subscript"/>
                    </w:rPr>
                    <w:t>MSY</w:t>
                  </w:r>
                </w:sdtContent>
              </w:sdt>
              <w:sdt>
                <w:sdtPr>
                  <w:rPr>
                    <w:rFonts w:cs="Calibri"/>
                    <w:b/>
                    <w:bCs/>
                  </w:rPr>
                  <w:tag w:val="goog_rdk_104"/>
                  <w:id w:val="2103062912"/>
                </w:sdtPr>
                <w:sdtContent>
                  <w:r w:rsidRPr="0058490B">
                    <w:rPr>
                      <w:rFonts w:cs="Calibri"/>
                      <w:b/>
                      <w:bCs/>
                    </w:rPr>
                    <w:t xml:space="preserve"> (</w:t>
                  </w:r>
                  <w:proofErr w:type="spellStart"/>
                  <w:r w:rsidRPr="0058490B">
                    <w:rPr>
                      <w:rFonts w:cs="Calibri"/>
                      <w:b/>
                      <w:bCs/>
                    </w:rPr>
                    <w:t>D</w:t>
                  </w:r>
                </w:sdtContent>
              </w:sdt>
              <w:sdt>
                <w:sdtPr>
                  <w:rPr>
                    <w:rFonts w:cs="Calibri"/>
                    <w:b/>
                    <w:bCs/>
                  </w:rPr>
                  <w:tag w:val="goog_rdk_105"/>
                  <w:id w:val="-1866682999"/>
                </w:sdtPr>
                <w:sdtContent>
                  <w:r w:rsidRPr="0058490B">
                    <w:rPr>
                      <w:rFonts w:cs="Calibri"/>
                      <w:b/>
                      <w:bCs/>
                      <w:vertAlign w:val="subscript"/>
                    </w:rPr>
                    <w:t>recent</w:t>
                  </w:r>
                  <w:proofErr w:type="spellEnd"/>
                </w:sdtContent>
              </w:sdt>
              <w:sdt>
                <w:sdtPr>
                  <w:rPr>
                    <w:rFonts w:cs="Calibri"/>
                    <w:b/>
                    <w:bCs/>
                  </w:rPr>
                  <w:tag w:val="goog_rdk_106"/>
                  <w:id w:val="258372198"/>
                </w:sdtPr>
                <w:sdtContent>
                  <w:r w:rsidRPr="0058490B">
                    <w:rPr>
                      <w:rFonts w:cs="Calibri"/>
                      <w:b/>
                      <w:bCs/>
                    </w:rPr>
                    <w:t>/D</w:t>
                  </w:r>
                </w:sdtContent>
              </w:sdt>
              <w:sdt>
                <w:sdtPr>
                  <w:rPr>
                    <w:rFonts w:cs="Calibri"/>
                    <w:b/>
                    <w:bCs/>
                  </w:rPr>
                  <w:tag w:val="goog_rdk_107"/>
                  <w:id w:val="805135247"/>
                </w:sdtPr>
                <w:sdtContent>
                  <w:r w:rsidRPr="0058490B">
                    <w:rPr>
                      <w:rFonts w:cs="Calibri"/>
                      <w:b/>
                      <w:bCs/>
                      <w:vertAlign w:val="subscript"/>
                    </w:rPr>
                    <w:t>MSY</w:t>
                  </w:r>
                </w:sdtContent>
              </w:sdt>
              <w:sdt>
                <w:sdtPr>
                  <w:rPr>
                    <w:rFonts w:cs="Calibri"/>
                    <w:b/>
                    <w:bCs/>
                  </w:rPr>
                  <w:tag w:val="goog_rdk_108"/>
                  <w:id w:val="-1041401292"/>
                </w:sdtPr>
                <w:sdtContent>
                  <w:r w:rsidRPr="0058490B">
                    <w:rPr>
                      <w:rFonts w:cs="Calibri"/>
                      <w:b/>
                      <w:bCs/>
                    </w:rPr>
                    <w:t xml:space="preserve"> = 0.77 with a 95% range of 0.33-2.3 and a 74% probability that the stock abundance was below D</w:t>
                  </w:r>
                </w:sdtContent>
              </w:sdt>
              <w:sdt>
                <w:sdtPr>
                  <w:rPr>
                    <w:rFonts w:cs="Calibri"/>
                    <w:b/>
                    <w:bCs/>
                  </w:rPr>
                  <w:tag w:val="goog_rdk_109"/>
                  <w:id w:val="-530955608"/>
                </w:sdtPr>
                <w:sdtContent>
                  <w:r w:rsidRPr="0058490B">
                    <w:rPr>
                      <w:rFonts w:cs="Calibri"/>
                      <w:b/>
                      <w:bCs/>
                      <w:vertAlign w:val="subscript"/>
                    </w:rPr>
                    <w:t>MSY</w:t>
                  </w:r>
                </w:sdtContent>
              </w:sdt>
              <w:sdt>
                <w:sdtPr>
                  <w:rPr>
                    <w:rFonts w:cs="Calibri"/>
                    <w:b/>
                    <w:bCs/>
                  </w:rPr>
                  <w:tag w:val="goog_rdk_110"/>
                  <w:id w:val="89272994"/>
                </w:sdtPr>
                <w:sdtContent>
                  <w:r w:rsidRPr="0058490B">
                    <w:rPr>
                      <w:rFonts w:cs="Calibri"/>
                      <w:b/>
                      <w:bCs/>
                    </w:rPr>
                    <w:t xml:space="preserve">.  Figure MLS-06) indicating the stock was likely to be overfished. The depletion value at which MSY occurs is 0.48 (the 95% credible interval is 0.26-0.7). </w:t>
                  </w:r>
                </w:sdtContent>
              </w:sdt>
            </w:sdtContent>
          </w:sdt>
        </w:p>
        <w:p w14:paraId="463A9BFA" w14:textId="77777777" w:rsidR="008B4B3C" w:rsidRPr="0058490B" w:rsidRDefault="008B4B3C" w:rsidP="008B4B3C">
          <w:pPr>
            <w:pStyle w:val="SCtext"/>
            <w:ind w:left="0" w:firstLine="0"/>
            <w:rPr>
              <w:rFonts w:cs="Calibri"/>
              <w:b/>
              <w:bCs/>
            </w:rPr>
          </w:pPr>
        </w:p>
      </w:sdtContent>
    </w:sdt>
    <w:sdt>
      <w:sdtPr>
        <w:rPr>
          <w:rFonts w:cs="Calibri"/>
          <w:b/>
          <w:bCs/>
        </w:rPr>
        <w:tag w:val="goog_rdk_116"/>
        <w:id w:val="1123468341"/>
      </w:sdtPr>
      <w:sdtEndPr>
        <w:rPr>
          <w:b w:val="0"/>
          <w:bCs w:val="0"/>
        </w:rPr>
      </w:sdtEndPr>
      <w:sdtContent>
        <w:p w14:paraId="517E9DB6" w14:textId="77777777" w:rsidR="008B4B3C" w:rsidRPr="0058490B" w:rsidRDefault="008B4B3C" w:rsidP="008B4B3C">
          <w:pPr>
            <w:pStyle w:val="SCtext"/>
            <w:widowControl w:val="0"/>
            <w:numPr>
              <w:ilvl w:val="0"/>
              <w:numId w:val="2"/>
            </w:numPr>
            <w:kinsoku w:val="0"/>
            <w:overflowPunct w:val="0"/>
            <w:ind w:left="0" w:firstLine="0"/>
            <w:rPr>
              <w:rFonts w:cs="Calibri"/>
              <w:b/>
              <w:bCs/>
            </w:rPr>
          </w:pPr>
          <w:sdt>
            <w:sdtPr>
              <w:rPr>
                <w:rFonts w:cs="Calibri"/>
                <w:b/>
                <w:bCs/>
              </w:rPr>
              <w:tag w:val="goog_rdk_112"/>
              <w:id w:val="-710200062"/>
            </w:sdtPr>
            <w:sdtContent>
              <w:sdt>
                <w:sdtPr>
                  <w:rPr>
                    <w:rFonts w:cs="Calibri"/>
                    <w:b/>
                    <w:bCs/>
                  </w:rPr>
                  <w:tag w:val="goog_rdk_113"/>
                  <w:id w:val="-1268308464"/>
                </w:sdtPr>
                <w:sdtContent>
                  <w:r w:rsidRPr="0058490B">
                    <w:rPr>
                      <w:rFonts w:cs="Calibri"/>
                      <w:b/>
                      <w:bCs/>
                    </w:rPr>
                    <w:t xml:space="preserve">The </w:t>
                  </w:r>
                  <w:proofErr w:type="gramStart"/>
                  <w:r w:rsidRPr="0058490B">
                    <w:rPr>
                      <w:rFonts w:cs="Calibri"/>
                      <w:b/>
                      <w:bCs/>
                    </w:rPr>
                    <w:t>stock  is</w:t>
                  </w:r>
                  <w:proofErr w:type="gramEnd"/>
                  <w:r w:rsidRPr="0058490B">
                    <w:rPr>
                      <w:rFonts w:cs="Calibri"/>
                      <w:b/>
                      <w:bCs/>
                    </w:rPr>
                    <w:t xml:space="preserve"> very unlikely to be below 20% of the unfished state (Figure MLS-05). The probability of the stock being below </w:t>
                  </w:r>
                  <w:proofErr w:type="gramStart"/>
                  <w:r w:rsidRPr="0058490B">
                    <w:rPr>
                      <w:rFonts w:cs="Calibri"/>
                      <w:b/>
                      <w:bCs/>
                    </w:rPr>
                    <w:t>D</w:t>
                  </w:r>
                  <w:r w:rsidRPr="0058490B">
                    <w:rPr>
                      <w:rFonts w:cs="Calibri"/>
                      <w:b/>
                      <w:bCs/>
                      <w:vertAlign w:val="subscript"/>
                    </w:rPr>
                    <w:t>0.2,F</w:t>
                  </w:r>
                  <w:proofErr w:type="gramEnd"/>
                  <w:r w:rsidRPr="0058490B">
                    <w:rPr>
                      <w:rFonts w:cs="Calibri"/>
                      <w:b/>
                      <w:bCs/>
                      <w:vertAlign w:val="subscript"/>
                    </w:rPr>
                    <w:t>=0</w:t>
                  </w:r>
                  <w:r w:rsidRPr="0058490B">
                    <w:rPr>
                      <w:rFonts w:cs="Calibri"/>
                      <w:b/>
                      <w:bCs/>
                    </w:rPr>
                    <w:t xml:space="preserve"> is 9.2% for the recent period, with a median ratio of 1.84 (95% CI: 0.73 – 4.7295). Noting that this depletion is relative to the 20% total depletion from the equilibrium unfished population level and is not equivalent to the conventional SB/SB</w:t>
                  </w:r>
                </w:sdtContent>
              </w:sdt>
              <w:sdt>
                <w:sdtPr>
                  <w:rPr>
                    <w:rFonts w:cs="Calibri"/>
                    <w:b/>
                    <w:bCs/>
                  </w:rPr>
                  <w:tag w:val="goog_rdk_114"/>
                  <w:id w:val="-1526064045"/>
                </w:sdtPr>
                <w:sdtContent>
                  <w:r w:rsidRPr="0058490B">
                    <w:rPr>
                      <w:rFonts w:cs="Calibri"/>
                      <w:b/>
                      <w:bCs/>
                      <w:vertAlign w:val="subscript"/>
                    </w:rPr>
                    <w:t>20</w:t>
                  </w:r>
                  <w:proofErr w:type="gramStart"/>
                  <w:r w:rsidRPr="0058490B">
                    <w:rPr>
                      <w:rFonts w:cs="Calibri"/>
                      <w:b/>
                      <w:bCs/>
                      <w:vertAlign w:val="subscript"/>
                    </w:rPr>
                    <w:t>%,F</w:t>
                  </w:r>
                  <w:proofErr w:type="gramEnd"/>
                  <w:r w:rsidRPr="0058490B">
                    <w:rPr>
                      <w:rFonts w:cs="Calibri"/>
                      <w:b/>
                      <w:bCs/>
                      <w:vertAlign w:val="subscript"/>
                    </w:rPr>
                    <w:t>=0</w:t>
                  </w:r>
                </w:sdtContent>
              </w:sdt>
              <w:r w:rsidRPr="0058490B">
                <w:rPr>
                  <w:rFonts w:cs="Calibri"/>
                  <w:b/>
                  <w:bCs/>
                </w:rPr>
                <w:t>.</w:t>
              </w:r>
              <w:sdt>
                <w:sdtPr>
                  <w:rPr>
                    <w:rFonts w:cs="Calibri"/>
                    <w:b/>
                    <w:bCs/>
                  </w:rPr>
                  <w:tag w:val="goog_rdk_115"/>
                  <w:id w:val="-401668566"/>
                  <w:showingPlcHdr/>
                </w:sdtPr>
                <w:sdtContent>
                  <w:r w:rsidRPr="0058490B">
                    <w:rPr>
                      <w:rFonts w:cs="Calibri"/>
                      <w:b/>
                      <w:bCs/>
                    </w:rPr>
                    <w:t xml:space="preserve">     </w:t>
                  </w:r>
                </w:sdtContent>
              </w:sdt>
            </w:sdtContent>
          </w:sdt>
        </w:p>
        <w:p w14:paraId="01752B6F" w14:textId="77777777" w:rsidR="008B4B3C" w:rsidRPr="0058490B" w:rsidRDefault="008B4B3C" w:rsidP="008B4B3C">
          <w:pPr>
            <w:pStyle w:val="SCtext"/>
            <w:ind w:left="0" w:firstLine="0"/>
            <w:rPr>
              <w:rFonts w:cs="Calibri"/>
            </w:rPr>
          </w:pPr>
        </w:p>
      </w:sdtContent>
    </w:sdt>
    <w:p w14:paraId="070FEC69" w14:textId="77777777" w:rsidR="008B4B3C" w:rsidRPr="0058490B" w:rsidRDefault="008B4B3C" w:rsidP="008B4B3C">
      <w:pPr>
        <w:pStyle w:val="SCtext"/>
        <w:widowControl w:val="0"/>
        <w:numPr>
          <w:ilvl w:val="0"/>
          <w:numId w:val="2"/>
        </w:numPr>
        <w:kinsoku w:val="0"/>
        <w:overflowPunct w:val="0"/>
        <w:ind w:left="0" w:firstLine="0"/>
        <w:rPr>
          <w:rFonts w:cs="Calibri"/>
        </w:rPr>
      </w:pPr>
      <w:r w:rsidRPr="0058490B">
        <w:rPr>
          <w:rFonts w:cs="Calibri"/>
          <w:b/>
          <w:bCs/>
        </w:rPr>
        <w:t>SC21 recommended that</w:t>
      </w:r>
      <w:r w:rsidRPr="0058490B">
        <w:rPr>
          <w:rFonts w:cs="Calibri"/>
        </w:rPr>
        <w:t xml:space="preserve"> future work investigate the estimated long-term decline in catchability and evaluate the assumption of stationary productivity, </w:t>
      </w:r>
      <w:proofErr w:type="gramStart"/>
      <w:r w:rsidRPr="0058490B">
        <w:rPr>
          <w:rFonts w:cs="Calibri"/>
        </w:rPr>
        <w:t>in order to</w:t>
      </w:r>
      <w:proofErr w:type="gramEnd"/>
      <w:r w:rsidRPr="0058490B">
        <w:rPr>
          <w:rFonts w:cs="Calibri"/>
        </w:rPr>
        <w:t xml:space="preserve"> reduce uncertainty and improve confidence in future stock assessments. In addition, it encouraged using the prior information and results from the BSP approach to improve the Stock Synthesis model and to continue using both models in parallel to improve understanding of the status of the SWPO MLS stock.</w:t>
      </w:r>
    </w:p>
    <w:p w14:paraId="08ED3CA2" w14:textId="77777777" w:rsidR="008B4B3C" w:rsidRPr="0058490B" w:rsidRDefault="008B4B3C" w:rsidP="008B4B3C">
      <w:pPr>
        <w:pStyle w:val="SCtext"/>
        <w:widowControl w:val="0"/>
        <w:numPr>
          <w:ilvl w:val="0"/>
          <w:numId w:val="40"/>
        </w:numPr>
        <w:kinsoku w:val="0"/>
        <w:overflowPunct w:val="0"/>
        <w:rPr>
          <w:rFonts w:cs="Calibri"/>
        </w:rPr>
        <w:sectPr w:rsidR="008B4B3C" w:rsidRPr="0058490B" w:rsidSect="008B4B3C">
          <w:pgSz w:w="12240" w:h="15840" w:code="1"/>
          <w:pgMar w:top="1440" w:right="1440" w:bottom="1440" w:left="1440" w:header="720" w:footer="720" w:gutter="0"/>
          <w:cols w:space="720"/>
          <w:docGrid w:linePitch="360"/>
        </w:sectPr>
      </w:pPr>
    </w:p>
    <w:p w14:paraId="103BD295" w14:textId="77777777" w:rsidR="008B4B3C" w:rsidRPr="008A5334" w:rsidRDefault="008B4B3C" w:rsidP="008B4B3C">
      <w:pPr>
        <w:jc w:val="both"/>
        <w:rPr>
          <w:rFonts w:cs="Calibri"/>
        </w:rPr>
      </w:pPr>
      <w:r w:rsidRPr="008A5334">
        <w:rPr>
          <w:rFonts w:cs="Calibri"/>
          <w:b/>
          <w:bCs/>
        </w:rPr>
        <w:lastRenderedPageBreak/>
        <w:t>Table MLS-03</w:t>
      </w:r>
      <w:r w:rsidRPr="008A5334">
        <w:rPr>
          <w:rFonts w:cs="Calibri"/>
        </w:rPr>
        <w:t xml:space="preserve">. Estimates of management quantities (stock status as depletion </w:t>
      </w:r>
      <w:proofErr w:type="spellStart"/>
      <w:r w:rsidRPr="008A5334">
        <w:rPr>
          <w:rFonts w:cs="Calibri"/>
        </w:rPr>
        <w:t>D</w:t>
      </w:r>
      <w:r w:rsidRPr="008A5334">
        <w:rPr>
          <w:rFonts w:cs="Calibri"/>
          <w:vertAlign w:val="subscript"/>
        </w:rPr>
        <w:t>recent</w:t>
      </w:r>
      <w:proofErr w:type="spellEnd"/>
      <w:r w:rsidRPr="008A5334">
        <w:rPr>
          <w:rFonts w:cs="Calibri"/>
        </w:rPr>
        <w:t xml:space="preserve"> relative to MSY), and fishing mortality (F) relative to indicators (F</w:t>
      </w:r>
      <w:r w:rsidRPr="008A5334">
        <w:rPr>
          <w:rFonts w:cs="Calibri"/>
          <w:vertAlign w:val="subscript"/>
        </w:rPr>
        <w:t>MSY</w:t>
      </w:r>
      <w:r w:rsidRPr="008A5334">
        <w:rPr>
          <w:rFonts w:cs="Calibri"/>
        </w:rPr>
        <w:t>). P(&gt;RP) refers to the probability that the metric (status, fishing mortality) is above the respective indicator.</w:t>
      </w:r>
    </w:p>
    <w:tbl>
      <w:tblPr>
        <w:tblStyle w:val="Table"/>
        <w:tblW w:w="5000" w:type="pct"/>
        <w:tblLook w:val="0020" w:firstRow="1" w:lastRow="0" w:firstColumn="0" w:lastColumn="0" w:noHBand="0" w:noVBand="0"/>
      </w:tblPr>
      <w:tblGrid>
        <w:gridCol w:w="2592"/>
        <w:gridCol w:w="2592"/>
        <w:gridCol w:w="2592"/>
        <w:gridCol w:w="2592"/>
        <w:gridCol w:w="2592"/>
      </w:tblGrid>
      <w:tr w:rsidR="008B4B3C" w:rsidRPr="008A5334" w14:paraId="29D887CE" w14:textId="77777777" w:rsidTr="00BF2179">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single" w:sz="2" w:space="0" w:color="auto"/>
              <w:bottom w:val="single" w:sz="2" w:space="0" w:color="auto"/>
            </w:tcBorders>
            <w:shd w:val="clear" w:color="auto" w:fill="D9D9D9" w:themeFill="background1" w:themeFillShade="D9"/>
          </w:tcPr>
          <w:p w14:paraId="620A510A"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Summary</w:t>
            </w:r>
          </w:p>
        </w:tc>
        <w:tc>
          <w:tcPr>
            <w:tcW w:w="1000" w:type="pct"/>
            <w:tcBorders>
              <w:top w:val="single" w:sz="2" w:space="0" w:color="auto"/>
              <w:bottom w:val="single" w:sz="2" w:space="0" w:color="auto"/>
            </w:tcBorders>
            <w:shd w:val="clear" w:color="auto" w:fill="D9D9D9" w:themeFill="background1" w:themeFillShade="D9"/>
          </w:tcPr>
          <w:p w14:paraId="40D3E9F3" w14:textId="77777777" w:rsidR="008B4B3C" w:rsidRPr="008A5334" w:rsidRDefault="008B4B3C" w:rsidP="00BF2179">
            <w:pPr>
              <w:pStyle w:val="Compact"/>
              <w:rPr>
                <w:rFonts w:ascii="Calibri" w:hAnsi="Calibri" w:cs="Calibri"/>
                <w:sz w:val="22"/>
                <w:szCs w:val="22"/>
              </w:rPr>
            </w:pPr>
          </w:p>
        </w:tc>
        <w:tc>
          <w:tcPr>
            <w:tcW w:w="1000" w:type="pct"/>
            <w:tcBorders>
              <w:top w:val="single" w:sz="2" w:space="0" w:color="auto"/>
              <w:bottom w:val="single" w:sz="2" w:space="0" w:color="auto"/>
            </w:tcBorders>
            <w:shd w:val="clear" w:color="auto" w:fill="D9D9D9" w:themeFill="background1" w:themeFillShade="D9"/>
          </w:tcPr>
          <w:p w14:paraId="1CC2F46F" w14:textId="77777777" w:rsidR="008B4B3C" w:rsidRPr="008A5334" w:rsidRDefault="008B4B3C" w:rsidP="00BF2179">
            <w:pPr>
              <w:pStyle w:val="Compact"/>
              <w:rPr>
                <w:rFonts w:ascii="Calibri" w:hAnsi="Calibri" w:cs="Calibri"/>
                <w:sz w:val="22"/>
                <w:szCs w:val="22"/>
              </w:rPr>
            </w:pPr>
          </w:p>
        </w:tc>
        <w:tc>
          <w:tcPr>
            <w:tcW w:w="1000" w:type="pct"/>
            <w:tcBorders>
              <w:top w:val="single" w:sz="2" w:space="0" w:color="auto"/>
              <w:bottom w:val="single" w:sz="2" w:space="0" w:color="auto"/>
            </w:tcBorders>
            <w:shd w:val="clear" w:color="auto" w:fill="D9D9D9" w:themeFill="background1" w:themeFillShade="D9"/>
          </w:tcPr>
          <w:p w14:paraId="7E28020A" w14:textId="77777777" w:rsidR="008B4B3C" w:rsidRPr="008A5334" w:rsidRDefault="008B4B3C" w:rsidP="00BF2179">
            <w:pPr>
              <w:pStyle w:val="Compact"/>
              <w:rPr>
                <w:rFonts w:ascii="Calibri" w:hAnsi="Calibri" w:cs="Calibri"/>
                <w:sz w:val="22"/>
                <w:szCs w:val="22"/>
              </w:rPr>
            </w:pPr>
          </w:p>
        </w:tc>
        <w:tc>
          <w:tcPr>
            <w:tcW w:w="1000" w:type="pct"/>
            <w:tcBorders>
              <w:top w:val="single" w:sz="2" w:space="0" w:color="auto"/>
              <w:bottom w:val="single" w:sz="2" w:space="0" w:color="auto"/>
            </w:tcBorders>
            <w:shd w:val="clear" w:color="auto" w:fill="D9D9D9" w:themeFill="background1" w:themeFillShade="D9"/>
          </w:tcPr>
          <w:p w14:paraId="5FE330EB" w14:textId="77777777" w:rsidR="008B4B3C" w:rsidRPr="008A5334" w:rsidRDefault="008B4B3C" w:rsidP="00BF2179">
            <w:pPr>
              <w:pStyle w:val="Compact"/>
              <w:rPr>
                <w:rFonts w:ascii="Calibri" w:hAnsi="Calibri" w:cs="Calibri"/>
                <w:sz w:val="22"/>
                <w:szCs w:val="22"/>
              </w:rPr>
            </w:pPr>
          </w:p>
        </w:tc>
      </w:tr>
      <w:tr w:rsidR="008B4B3C" w:rsidRPr="008A5334" w14:paraId="266FE464" w14:textId="77777777" w:rsidTr="00BF2179">
        <w:tc>
          <w:tcPr>
            <w:tcW w:w="1000" w:type="pct"/>
          </w:tcPr>
          <w:p w14:paraId="72DEBAE8"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b/>
                <w:bCs/>
                <w:sz w:val="22"/>
                <w:szCs w:val="22"/>
              </w:rPr>
              <w:t>Year of assessment:</w:t>
            </w:r>
            <w:r w:rsidRPr="008A5334">
              <w:rPr>
                <w:rFonts w:ascii="Calibri" w:hAnsi="Calibri" w:cs="Calibri"/>
                <w:sz w:val="22"/>
                <w:szCs w:val="22"/>
              </w:rPr>
              <w:t xml:space="preserve"> 2025</w:t>
            </w:r>
          </w:p>
        </w:tc>
        <w:tc>
          <w:tcPr>
            <w:tcW w:w="1000" w:type="pct"/>
            <w:tcBorders>
              <w:top w:val="single" w:sz="2" w:space="0" w:color="auto"/>
              <w:bottom w:val="dotted" w:sz="4" w:space="0" w:color="auto"/>
            </w:tcBorders>
          </w:tcPr>
          <w:p w14:paraId="65B544A6"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b/>
                <w:bCs/>
                <w:sz w:val="22"/>
                <w:szCs w:val="22"/>
              </w:rPr>
              <w:t>Depletion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recent</m:t>
                  </m:r>
                </m:sub>
              </m:sSub>
            </m:oMath>
            <w:r w:rsidRPr="008A5334">
              <w:rPr>
                <w:rFonts w:ascii="Calibri" w:hAnsi="Calibri" w:cs="Calibri"/>
                <w:b/>
                <w:bCs/>
                <w:sz w:val="22"/>
                <w:szCs w:val="22"/>
              </w:rPr>
              <w:t>)</w:t>
            </w:r>
          </w:p>
        </w:tc>
        <w:tc>
          <w:tcPr>
            <w:tcW w:w="1000" w:type="pct"/>
            <w:tcBorders>
              <w:top w:val="single" w:sz="2" w:space="0" w:color="auto"/>
              <w:bottom w:val="dotted" w:sz="4" w:space="0" w:color="auto"/>
            </w:tcBorders>
          </w:tcPr>
          <w:p w14:paraId="76178392"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 xml:space="preserve">Likely (74%) to be below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w:p>
        </w:tc>
        <w:tc>
          <w:tcPr>
            <w:tcW w:w="1000" w:type="pct"/>
            <w:tcBorders>
              <w:top w:val="single" w:sz="2" w:space="0" w:color="auto"/>
              <w:bottom w:val="dotted" w:sz="4" w:space="0" w:color="auto"/>
            </w:tcBorders>
          </w:tcPr>
          <w:p w14:paraId="7F1F6E1F" w14:textId="77777777" w:rsidR="008B4B3C" w:rsidRPr="008A5334" w:rsidRDefault="008B4B3C" w:rsidP="00BF2179">
            <w:pPr>
              <w:pStyle w:val="Compact"/>
              <w:spacing w:after="120"/>
              <w:rPr>
                <w:rFonts w:ascii="Calibri" w:hAnsi="Calibri" w:cs="Calibri"/>
                <w:sz w:val="22"/>
                <w:szCs w:val="22"/>
              </w:rPr>
            </w:pPr>
          </w:p>
        </w:tc>
        <w:tc>
          <w:tcPr>
            <w:tcW w:w="1000" w:type="pct"/>
            <w:tcBorders>
              <w:top w:val="single" w:sz="2" w:space="0" w:color="auto"/>
              <w:bottom w:val="dotted" w:sz="4" w:space="0" w:color="auto"/>
            </w:tcBorders>
          </w:tcPr>
          <w:p w14:paraId="73D0A5A7" w14:textId="77777777" w:rsidR="008B4B3C" w:rsidRPr="008A5334" w:rsidRDefault="008B4B3C" w:rsidP="00BF2179">
            <w:pPr>
              <w:pStyle w:val="Compact"/>
              <w:spacing w:after="120"/>
              <w:rPr>
                <w:rFonts w:ascii="Calibri" w:hAnsi="Calibri" w:cs="Calibri"/>
                <w:sz w:val="22"/>
                <w:szCs w:val="22"/>
              </w:rPr>
            </w:pPr>
            <w:r>
              <w:rPr>
                <w:rFonts w:ascii="Calibri" w:hAnsi="Calibri" w:cs="Calibri"/>
                <w:sz w:val="22"/>
                <w:szCs w:val="22"/>
              </w:rPr>
              <w:t>The stock</w:t>
            </w:r>
            <w:r w:rsidRPr="008A5334">
              <w:rPr>
                <w:rFonts w:ascii="Calibri" w:hAnsi="Calibri" w:cs="Calibri"/>
                <w:sz w:val="22"/>
                <w:szCs w:val="22"/>
              </w:rPr>
              <w:t xml:space="preserve"> is overfished</w:t>
            </w:r>
          </w:p>
        </w:tc>
      </w:tr>
      <w:tr w:rsidR="008B4B3C" w:rsidRPr="008A5334" w14:paraId="169BF1AA" w14:textId="77777777" w:rsidTr="00BF2179">
        <w:tc>
          <w:tcPr>
            <w:tcW w:w="1000" w:type="pct"/>
          </w:tcPr>
          <w:p w14:paraId="2D999962"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b/>
                <w:bCs/>
                <w:sz w:val="22"/>
                <w:szCs w:val="22"/>
              </w:rPr>
              <w:t>Last year of data:</w:t>
            </w:r>
            <w:r w:rsidRPr="008A5334">
              <w:rPr>
                <w:rFonts w:ascii="Calibri" w:hAnsi="Calibri" w:cs="Calibri"/>
                <w:sz w:val="22"/>
                <w:szCs w:val="22"/>
              </w:rPr>
              <w:t xml:space="preserve"> 2022</w:t>
            </w:r>
          </w:p>
        </w:tc>
        <w:tc>
          <w:tcPr>
            <w:tcW w:w="1000" w:type="pct"/>
            <w:tcBorders>
              <w:top w:val="dotted" w:sz="4" w:space="0" w:color="auto"/>
              <w:bottom w:val="dotted" w:sz="4" w:space="0" w:color="auto"/>
            </w:tcBorders>
          </w:tcPr>
          <w:p w14:paraId="789E2242"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b/>
                <w:bCs/>
                <w:sz w:val="22"/>
                <w:szCs w:val="22"/>
              </w:rPr>
              <w:t>Fishing mortality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recent</m:t>
                  </m:r>
                </m:sub>
              </m:sSub>
            </m:oMath>
            <w:r w:rsidRPr="008A5334">
              <w:rPr>
                <w:rFonts w:ascii="Calibri" w:hAnsi="Calibri" w:cs="Calibri"/>
                <w:b/>
                <w:bCs/>
                <w:sz w:val="22"/>
                <w:szCs w:val="22"/>
              </w:rPr>
              <w:t>)</w:t>
            </w:r>
          </w:p>
        </w:tc>
        <w:tc>
          <w:tcPr>
            <w:tcW w:w="1000" w:type="pct"/>
            <w:tcBorders>
              <w:top w:val="dotted" w:sz="4" w:space="0" w:color="auto"/>
              <w:bottom w:val="dotted" w:sz="4" w:space="0" w:color="auto"/>
            </w:tcBorders>
          </w:tcPr>
          <w:p w14:paraId="65954020"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 xml:space="preserve">Unlikely (23%) to be above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w:p>
        </w:tc>
        <w:tc>
          <w:tcPr>
            <w:tcW w:w="1000" w:type="pct"/>
            <w:tcBorders>
              <w:top w:val="dotted" w:sz="4" w:space="0" w:color="auto"/>
              <w:bottom w:val="dotted" w:sz="4" w:space="0" w:color="auto"/>
            </w:tcBorders>
          </w:tcPr>
          <w:p w14:paraId="29C9F919" w14:textId="77777777" w:rsidR="008B4B3C" w:rsidRPr="008A5334" w:rsidRDefault="008B4B3C" w:rsidP="00BF2179">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4465F605"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Overfishing is not occurring</w:t>
            </w:r>
          </w:p>
        </w:tc>
      </w:tr>
      <w:tr w:rsidR="008B4B3C" w:rsidRPr="008A5334" w14:paraId="315EFB80" w14:textId="77777777" w:rsidTr="00BF2179">
        <w:tc>
          <w:tcPr>
            <w:tcW w:w="1000" w:type="pct"/>
          </w:tcPr>
          <w:p w14:paraId="7792C40C" w14:textId="77777777" w:rsidR="008B4B3C" w:rsidRPr="008A5334" w:rsidRDefault="008B4B3C" w:rsidP="00BF2179">
            <w:pPr>
              <w:pStyle w:val="Compact"/>
              <w:spacing w:after="120"/>
              <w:rPr>
                <w:rFonts w:ascii="Calibri" w:hAnsi="Calibri" w:cs="Calibri"/>
                <w:sz w:val="22"/>
                <w:szCs w:val="22"/>
              </w:rPr>
            </w:pPr>
          </w:p>
        </w:tc>
        <w:tc>
          <w:tcPr>
            <w:tcW w:w="1000" w:type="pct"/>
            <w:tcBorders>
              <w:top w:val="dotted" w:sz="4" w:space="0" w:color="auto"/>
            </w:tcBorders>
          </w:tcPr>
          <w:p w14:paraId="5477F087"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b/>
                <w:bCs/>
                <w:sz w:val="22"/>
                <w:szCs w:val="22"/>
              </w:rPr>
              <w:t>Projection</w:t>
            </w:r>
          </w:p>
        </w:tc>
        <w:tc>
          <w:tcPr>
            <w:tcW w:w="1000" w:type="pct"/>
            <w:tcBorders>
              <w:top w:val="dotted" w:sz="4" w:space="0" w:color="auto"/>
              <w:bottom w:val="dotted" w:sz="4" w:space="0" w:color="auto"/>
            </w:tcBorders>
          </w:tcPr>
          <w:p w14:paraId="185341BD" w14:textId="77777777" w:rsidR="008B4B3C" w:rsidRPr="008A5334" w:rsidRDefault="008B4B3C" w:rsidP="00BF2179">
            <w:pPr>
              <w:pStyle w:val="Compact"/>
              <w:spacing w:after="120"/>
              <w:rPr>
                <w:rFonts w:ascii="Calibri" w:hAnsi="Calibri" w:cs="Calibri"/>
                <w:sz w:val="22"/>
                <w:szCs w:val="22"/>
              </w:rPr>
            </w:pPr>
            <m:oMath>
              <m:r>
                <w:rPr>
                  <w:rFonts w:ascii="Cambria Math" w:hAnsi="Cambria Math" w:cs="Calibri"/>
                  <w:sz w:val="22"/>
                  <w:szCs w:val="22"/>
                </w:rPr>
                <m:t>F</m:t>
              </m:r>
            </m:oMath>
            <w:r w:rsidRPr="008A5334">
              <w:rPr>
                <w:rFonts w:ascii="Calibri" w:hAnsi="Calibri" w:cs="Calibri"/>
                <w:sz w:val="22"/>
                <w:szCs w:val="22"/>
              </w:rPr>
              <w:t xml:space="preserve"> about as likely as not (33-66%) to decline further by 2027</w:t>
            </w:r>
          </w:p>
        </w:tc>
        <w:tc>
          <w:tcPr>
            <w:tcW w:w="1000" w:type="pct"/>
            <w:tcBorders>
              <w:top w:val="dotted" w:sz="4" w:space="0" w:color="auto"/>
              <w:bottom w:val="dotted" w:sz="4" w:space="0" w:color="auto"/>
            </w:tcBorders>
          </w:tcPr>
          <w:p w14:paraId="4D0DA934" w14:textId="77777777" w:rsidR="008B4B3C" w:rsidRPr="008A5334" w:rsidRDefault="008B4B3C" w:rsidP="00BF2179">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20211CEA"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The stock is unlikely (&lt;33%) to be undergoing overfishing in the near term under recent average catch levels.</w:t>
            </w:r>
          </w:p>
        </w:tc>
      </w:tr>
      <w:tr w:rsidR="008B4B3C" w:rsidRPr="008A5334" w14:paraId="0ED39B10" w14:textId="77777777" w:rsidTr="00BF2179">
        <w:tc>
          <w:tcPr>
            <w:tcW w:w="1000" w:type="pct"/>
            <w:tcBorders>
              <w:bottom w:val="single" w:sz="4" w:space="0" w:color="auto"/>
            </w:tcBorders>
          </w:tcPr>
          <w:p w14:paraId="23E323B6" w14:textId="77777777" w:rsidR="008B4B3C" w:rsidRPr="008A5334" w:rsidRDefault="008B4B3C" w:rsidP="00BF2179">
            <w:pPr>
              <w:pStyle w:val="Compact"/>
              <w:rPr>
                <w:rFonts w:ascii="Calibri" w:hAnsi="Calibri" w:cs="Calibri"/>
                <w:sz w:val="22"/>
                <w:szCs w:val="22"/>
              </w:rPr>
            </w:pPr>
          </w:p>
        </w:tc>
        <w:tc>
          <w:tcPr>
            <w:tcW w:w="1000" w:type="pct"/>
            <w:tcBorders>
              <w:bottom w:val="single" w:sz="4" w:space="0" w:color="auto"/>
            </w:tcBorders>
          </w:tcPr>
          <w:p w14:paraId="5BDDB829"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single" w:sz="4" w:space="0" w:color="auto"/>
            </w:tcBorders>
          </w:tcPr>
          <w:p w14:paraId="63EEDBD4" w14:textId="77777777" w:rsidR="008B4B3C" w:rsidRPr="008A5334" w:rsidRDefault="008B4B3C" w:rsidP="00BF2179">
            <w:pPr>
              <w:pStyle w:val="Compact"/>
              <w:rPr>
                <w:rFonts w:ascii="Calibri" w:hAnsi="Calibri" w:cs="Calibri"/>
                <w:sz w:val="22"/>
                <w:szCs w:val="22"/>
              </w:rPr>
            </w:pPr>
            <m:oMath>
              <m:r>
                <w:rPr>
                  <w:rFonts w:ascii="Cambria Math" w:hAnsi="Cambria Math" w:cs="Calibri"/>
                  <w:sz w:val="22"/>
                  <w:szCs w:val="22"/>
                </w:rPr>
                <m:t>D</m:t>
              </m:r>
            </m:oMath>
            <w:r w:rsidRPr="008A5334">
              <w:rPr>
                <w:rFonts w:ascii="Calibri" w:hAnsi="Calibri" w:cs="Calibri"/>
                <w:sz w:val="22"/>
                <w:szCs w:val="22"/>
              </w:rPr>
              <w:t xml:space="preserve"> likely (&gt;66%) to increase further by 2027</w:t>
            </w:r>
          </w:p>
        </w:tc>
        <w:tc>
          <w:tcPr>
            <w:tcW w:w="1000" w:type="pct"/>
            <w:tcBorders>
              <w:top w:val="dotted" w:sz="4" w:space="0" w:color="auto"/>
              <w:bottom w:val="single" w:sz="4" w:space="0" w:color="auto"/>
            </w:tcBorders>
          </w:tcPr>
          <w:p w14:paraId="5D74332C"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single" w:sz="4" w:space="0" w:color="auto"/>
            </w:tcBorders>
          </w:tcPr>
          <w:p w14:paraId="4DDC130C"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The stock is about as likely as not (33-66%) to be overfished in the near term under recent average catch levels.</w:t>
            </w:r>
          </w:p>
        </w:tc>
      </w:tr>
      <w:tr w:rsidR="008B4B3C" w:rsidRPr="008A5334" w14:paraId="72B31ECC" w14:textId="77777777" w:rsidTr="00BF2179">
        <w:tc>
          <w:tcPr>
            <w:tcW w:w="1000" w:type="pct"/>
            <w:tcBorders>
              <w:top w:val="single" w:sz="4" w:space="0" w:color="auto"/>
              <w:bottom w:val="single" w:sz="4" w:space="0" w:color="auto"/>
            </w:tcBorders>
            <w:shd w:val="clear" w:color="auto" w:fill="D9D9D9" w:themeFill="background1" w:themeFillShade="D9"/>
          </w:tcPr>
          <w:p w14:paraId="66F07746"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Reference points</w:t>
            </w:r>
          </w:p>
        </w:tc>
        <w:tc>
          <w:tcPr>
            <w:tcW w:w="1000" w:type="pct"/>
            <w:tcBorders>
              <w:top w:val="single" w:sz="4" w:space="0" w:color="auto"/>
              <w:bottom w:val="single" w:sz="4" w:space="0" w:color="auto"/>
            </w:tcBorders>
            <w:shd w:val="clear" w:color="auto" w:fill="D9D9D9" w:themeFill="background1" w:themeFillShade="D9"/>
          </w:tcPr>
          <w:p w14:paraId="321C96B1"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Metric</w:t>
            </w:r>
          </w:p>
        </w:tc>
        <w:tc>
          <w:tcPr>
            <w:tcW w:w="1000" w:type="pct"/>
            <w:tcBorders>
              <w:top w:val="single" w:sz="4" w:space="0" w:color="auto"/>
              <w:bottom w:val="single" w:sz="4" w:space="0" w:color="auto"/>
            </w:tcBorders>
            <w:shd w:val="clear" w:color="auto" w:fill="D9D9D9" w:themeFill="background1" w:themeFillShade="D9"/>
          </w:tcPr>
          <w:p w14:paraId="0DCDCB1D"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Median [2.5%-97.5% CI]</w:t>
            </w:r>
          </w:p>
        </w:tc>
        <w:tc>
          <w:tcPr>
            <w:tcW w:w="1000" w:type="pct"/>
            <w:tcBorders>
              <w:top w:val="single" w:sz="4" w:space="0" w:color="auto"/>
              <w:bottom w:val="single" w:sz="4" w:space="0" w:color="auto"/>
            </w:tcBorders>
            <w:shd w:val="clear" w:color="auto" w:fill="D9D9D9" w:themeFill="background1" w:themeFillShade="D9"/>
          </w:tcPr>
          <w:p w14:paraId="2AF5BD9A"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Likelihood</w:t>
            </w:r>
          </w:p>
        </w:tc>
        <w:tc>
          <w:tcPr>
            <w:tcW w:w="1000" w:type="pct"/>
            <w:tcBorders>
              <w:top w:val="single" w:sz="4" w:space="0" w:color="auto"/>
              <w:bottom w:val="single" w:sz="4" w:space="0" w:color="auto"/>
            </w:tcBorders>
            <w:shd w:val="clear" w:color="auto" w:fill="D9D9D9" w:themeFill="background1" w:themeFillShade="D9"/>
          </w:tcPr>
          <w:p w14:paraId="30777AEA"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Recent trend / projection</w:t>
            </w:r>
          </w:p>
        </w:tc>
      </w:tr>
      <w:tr w:rsidR="008B4B3C" w:rsidRPr="008A5334" w14:paraId="44A122DE" w14:textId="77777777" w:rsidTr="00BF2179">
        <w:tc>
          <w:tcPr>
            <w:tcW w:w="1000" w:type="pct"/>
            <w:tcBorders>
              <w:top w:val="single" w:sz="4" w:space="0" w:color="auto"/>
              <w:bottom w:val="dotted" w:sz="4" w:space="0" w:color="auto"/>
            </w:tcBorders>
          </w:tcPr>
          <w:p w14:paraId="5CB1765D"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Depletion</w:t>
            </w:r>
          </w:p>
        </w:tc>
        <w:tc>
          <w:tcPr>
            <w:tcW w:w="1000" w:type="pct"/>
            <w:tcBorders>
              <w:top w:val="single" w:sz="4" w:space="0" w:color="auto"/>
              <w:bottom w:val="dotted" w:sz="4" w:space="0" w:color="auto"/>
            </w:tcBorders>
          </w:tcPr>
          <w:p w14:paraId="1F16AA2D" w14:textId="77777777" w:rsidR="008B4B3C" w:rsidRPr="008A5334" w:rsidRDefault="008B4B3C" w:rsidP="00BF2179">
            <w:pPr>
              <w:pStyle w:val="Compact"/>
              <w:spacing w:after="120"/>
              <w:jc w:val="center"/>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m:oMathPara>
          </w:p>
        </w:tc>
        <w:tc>
          <w:tcPr>
            <w:tcW w:w="1000" w:type="pct"/>
            <w:tcBorders>
              <w:top w:val="single" w:sz="4" w:space="0" w:color="auto"/>
              <w:bottom w:val="dotted" w:sz="4" w:space="0" w:color="auto"/>
            </w:tcBorders>
          </w:tcPr>
          <w:p w14:paraId="438B3266"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0.48 [0.26 – 0.7]</w:t>
            </w:r>
          </w:p>
        </w:tc>
        <w:tc>
          <w:tcPr>
            <w:tcW w:w="1000" w:type="pct"/>
            <w:tcBorders>
              <w:top w:val="single" w:sz="4" w:space="0" w:color="auto"/>
              <w:bottom w:val="dotted" w:sz="4" w:space="0" w:color="auto"/>
            </w:tcBorders>
          </w:tcPr>
          <w:p w14:paraId="4E1959C8" w14:textId="77777777" w:rsidR="008B4B3C" w:rsidRPr="008A5334" w:rsidRDefault="008B4B3C" w:rsidP="00BF2179">
            <w:pPr>
              <w:pStyle w:val="Compact"/>
              <w:spacing w:after="120"/>
              <w:rPr>
                <w:rFonts w:ascii="Calibri" w:hAnsi="Calibri" w:cs="Calibri"/>
                <w:sz w:val="22"/>
                <w:szCs w:val="22"/>
              </w:rPr>
            </w:pPr>
          </w:p>
        </w:tc>
        <w:tc>
          <w:tcPr>
            <w:tcW w:w="1000" w:type="pct"/>
            <w:tcBorders>
              <w:top w:val="single" w:sz="4" w:space="0" w:color="auto"/>
              <w:bottom w:val="dotted" w:sz="4" w:space="0" w:color="auto"/>
            </w:tcBorders>
          </w:tcPr>
          <w:p w14:paraId="3D96289F" w14:textId="77777777" w:rsidR="008B4B3C" w:rsidRPr="008A5334" w:rsidRDefault="008B4B3C" w:rsidP="00BF2179">
            <w:pPr>
              <w:pStyle w:val="Compact"/>
              <w:spacing w:after="120"/>
              <w:rPr>
                <w:rFonts w:ascii="Calibri" w:hAnsi="Calibri" w:cs="Calibri"/>
                <w:sz w:val="22"/>
                <w:szCs w:val="22"/>
              </w:rPr>
            </w:pPr>
          </w:p>
        </w:tc>
      </w:tr>
      <w:tr w:rsidR="008B4B3C" w:rsidRPr="008A5334" w14:paraId="3D290DF3" w14:textId="77777777" w:rsidTr="00BF2179">
        <w:tc>
          <w:tcPr>
            <w:tcW w:w="1000" w:type="pct"/>
            <w:tcBorders>
              <w:top w:val="dotted" w:sz="4" w:space="0" w:color="auto"/>
              <w:bottom w:val="dotted" w:sz="4" w:space="0" w:color="auto"/>
            </w:tcBorders>
          </w:tcPr>
          <w:p w14:paraId="74C386F2"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Abundance</w:t>
            </w:r>
          </w:p>
        </w:tc>
        <w:tc>
          <w:tcPr>
            <w:tcW w:w="1000" w:type="pct"/>
            <w:tcBorders>
              <w:top w:val="dotted" w:sz="4" w:space="0" w:color="auto"/>
              <w:bottom w:val="dotted" w:sz="4" w:space="0" w:color="auto"/>
            </w:tcBorders>
          </w:tcPr>
          <w:p w14:paraId="0C1CEC20" w14:textId="77777777" w:rsidR="008B4B3C" w:rsidRPr="008A5334" w:rsidRDefault="008B4B3C" w:rsidP="00BF2179">
            <w:pPr>
              <w:pStyle w:val="Compact"/>
              <w:spacing w:after="120"/>
              <w:jc w:val="center"/>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P</m:t>
                    </m:r>
                  </m:e>
                  <m:sub>
                    <m:r>
                      <w:rPr>
                        <w:rFonts w:ascii="Cambria Math" w:hAnsi="Cambria Math" w:cs="Calibri"/>
                        <w:sz w:val="22"/>
                        <w:szCs w:val="22"/>
                      </w:rPr>
                      <m:t>MSY</m:t>
                    </m:r>
                  </m:sub>
                </m:sSub>
              </m:oMath>
            </m:oMathPara>
          </w:p>
        </w:tc>
        <w:tc>
          <w:tcPr>
            <w:tcW w:w="1000" w:type="pct"/>
            <w:tcBorders>
              <w:top w:val="dotted" w:sz="4" w:space="0" w:color="auto"/>
              <w:bottom w:val="dotted" w:sz="4" w:space="0" w:color="auto"/>
            </w:tcBorders>
          </w:tcPr>
          <w:p w14:paraId="4C9B44FE"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155,183 n [63,037 – 808,861]</w:t>
            </w:r>
          </w:p>
        </w:tc>
        <w:tc>
          <w:tcPr>
            <w:tcW w:w="1000" w:type="pct"/>
            <w:tcBorders>
              <w:top w:val="dotted" w:sz="4" w:space="0" w:color="auto"/>
              <w:bottom w:val="dotted" w:sz="4" w:space="0" w:color="auto"/>
            </w:tcBorders>
          </w:tcPr>
          <w:p w14:paraId="7BB2950B" w14:textId="77777777" w:rsidR="008B4B3C" w:rsidRPr="008A5334" w:rsidRDefault="008B4B3C" w:rsidP="00BF2179">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0D0CBFDC" w14:textId="77777777" w:rsidR="008B4B3C" w:rsidRPr="008A5334" w:rsidRDefault="008B4B3C" w:rsidP="00BF2179">
            <w:pPr>
              <w:pStyle w:val="Compact"/>
              <w:spacing w:after="120"/>
              <w:rPr>
                <w:rFonts w:ascii="Calibri" w:hAnsi="Calibri" w:cs="Calibri"/>
                <w:sz w:val="22"/>
                <w:szCs w:val="22"/>
              </w:rPr>
            </w:pPr>
          </w:p>
        </w:tc>
      </w:tr>
      <w:tr w:rsidR="008B4B3C" w:rsidRPr="008A5334" w14:paraId="64561F8E" w14:textId="77777777" w:rsidTr="00BF2179">
        <w:tc>
          <w:tcPr>
            <w:tcW w:w="1000" w:type="pct"/>
            <w:tcBorders>
              <w:top w:val="dotted" w:sz="4" w:space="0" w:color="auto"/>
              <w:bottom w:val="dotted" w:sz="4" w:space="0" w:color="auto"/>
            </w:tcBorders>
          </w:tcPr>
          <w:p w14:paraId="6B08F180"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Abundance</w:t>
            </w:r>
          </w:p>
        </w:tc>
        <w:tc>
          <w:tcPr>
            <w:tcW w:w="1000" w:type="pct"/>
            <w:tcBorders>
              <w:top w:val="dotted" w:sz="4" w:space="0" w:color="auto"/>
              <w:bottom w:val="dotted" w:sz="4" w:space="0" w:color="auto"/>
            </w:tcBorders>
          </w:tcPr>
          <w:p w14:paraId="5125AD9D" w14:textId="77777777" w:rsidR="008B4B3C" w:rsidRPr="008A5334" w:rsidRDefault="008B4B3C" w:rsidP="00BF2179">
            <w:pPr>
              <w:pStyle w:val="Compact"/>
              <w:spacing w:after="120"/>
              <w:jc w:val="center"/>
              <w:rPr>
                <w:rFonts w:ascii="Calibri" w:hAnsi="Calibri" w:cs="Calibri"/>
                <w:sz w:val="22"/>
                <w:szCs w:val="22"/>
              </w:rPr>
            </w:pPr>
            <m:oMathPara>
              <m:oMath>
                <m:r>
                  <w:rPr>
                    <w:rFonts w:ascii="Cambria Math" w:hAnsi="Cambria Math" w:cs="Calibri"/>
                    <w:sz w:val="22"/>
                    <w:szCs w:val="22"/>
                  </w:rPr>
                  <m:t>0.2</m:t>
                </m:r>
                <m:r>
                  <m:rPr>
                    <m:sty m:val="p"/>
                  </m:rPr>
                  <w:rPr>
                    <w:rFonts w:ascii="Cambria Math" w:hAnsi="Cambria Math" w:cs="Calibri"/>
                    <w:sz w:val="22"/>
                    <w:szCs w:val="22"/>
                  </w:rPr>
                  <m:t>×</m:t>
                </m:r>
                <m:r>
                  <w:rPr>
                    <w:rFonts w:ascii="Cambria Math" w:hAnsi="Cambria Math" w:cs="Calibri"/>
                    <w:sz w:val="22"/>
                    <w:szCs w:val="22"/>
                  </w:rPr>
                  <m:t>log</m:t>
                </m:r>
                <m:d>
                  <m:dPr>
                    <m:ctrlPr>
                      <w:rPr>
                        <w:rFonts w:ascii="Cambria Math" w:hAnsi="Cambria Math" w:cs="Calibri"/>
                        <w:sz w:val="22"/>
                        <w:szCs w:val="22"/>
                      </w:rPr>
                    </m:ctrlPr>
                  </m:dPr>
                  <m:e>
                    <m:r>
                      <w:rPr>
                        <w:rFonts w:ascii="Cambria Math" w:hAnsi="Cambria Math" w:cs="Calibri"/>
                        <w:sz w:val="22"/>
                        <w:szCs w:val="22"/>
                      </w:rPr>
                      <m:t>K</m:t>
                    </m:r>
                  </m:e>
                </m:d>
              </m:oMath>
            </m:oMathPara>
          </w:p>
        </w:tc>
        <w:tc>
          <w:tcPr>
            <w:tcW w:w="1000" w:type="pct"/>
            <w:tcBorders>
              <w:top w:val="dotted" w:sz="4" w:space="0" w:color="auto"/>
              <w:bottom w:val="dotted" w:sz="4" w:space="0" w:color="auto"/>
            </w:tcBorders>
          </w:tcPr>
          <w:p w14:paraId="2D825274"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65,041 n [36,198 – 327,844]</w:t>
            </w:r>
          </w:p>
        </w:tc>
        <w:tc>
          <w:tcPr>
            <w:tcW w:w="1000" w:type="pct"/>
            <w:tcBorders>
              <w:top w:val="dotted" w:sz="4" w:space="0" w:color="auto"/>
              <w:bottom w:val="dotted" w:sz="4" w:space="0" w:color="auto"/>
            </w:tcBorders>
          </w:tcPr>
          <w:p w14:paraId="7BA1EDA0" w14:textId="77777777" w:rsidR="008B4B3C" w:rsidRPr="008A5334" w:rsidRDefault="008B4B3C" w:rsidP="00BF2179">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0E2609E4" w14:textId="77777777" w:rsidR="008B4B3C" w:rsidRPr="008A5334" w:rsidRDefault="008B4B3C" w:rsidP="00BF2179">
            <w:pPr>
              <w:pStyle w:val="Compact"/>
              <w:spacing w:after="120"/>
              <w:rPr>
                <w:rFonts w:ascii="Calibri" w:hAnsi="Calibri" w:cs="Calibri"/>
                <w:sz w:val="22"/>
                <w:szCs w:val="22"/>
              </w:rPr>
            </w:pPr>
          </w:p>
        </w:tc>
      </w:tr>
      <w:tr w:rsidR="008B4B3C" w:rsidRPr="008A5334" w14:paraId="6A645323" w14:textId="77777777" w:rsidTr="00BF2179">
        <w:tc>
          <w:tcPr>
            <w:tcW w:w="1000" w:type="pct"/>
            <w:tcBorders>
              <w:top w:val="dotted" w:sz="4" w:space="0" w:color="auto"/>
              <w:bottom w:val="dotted" w:sz="4" w:space="0" w:color="auto"/>
            </w:tcBorders>
          </w:tcPr>
          <w:p w14:paraId="57057F79"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Catch</w:t>
            </w:r>
          </w:p>
        </w:tc>
        <w:tc>
          <w:tcPr>
            <w:tcW w:w="1000" w:type="pct"/>
            <w:tcBorders>
              <w:top w:val="dotted" w:sz="4" w:space="0" w:color="auto"/>
              <w:bottom w:val="dotted" w:sz="4" w:space="0" w:color="auto"/>
            </w:tcBorders>
          </w:tcPr>
          <w:p w14:paraId="08F82C96" w14:textId="77777777" w:rsidR="008B4B3C" w:rsidRPr="008A5334" w:rsidRDefault="008B4B3C" w:rsidP="00BF2179">
            <w:pPr>
              <w:pStyle w:val="Compact"/>
              <w:spacing w:after="120"/>
              <w:jc w:val="center"/>
              <w:rPr>
                <w:rFonts w:ascii="Calibri" w:hAnsi="Calibri" w:cs="Calibri"/>
                <w:sz w:val="22"/>
                <w:szCs w:val="22"/>
              </w:rPr>
            </w:pPr>
            <w:r w:rsidRPr="008A5334">
              <w:rPr>
                <w:rFonts w:ascii="Calibri" w:hAnsi="Calibri" w:cs="Calibri"/>
                <w:i/>
                <w:iCs/>
                <w:sz w:val="22"/>
                <w:szCs w:val="22"/>
              </w:rPr>
              <w:t>MSY</w:t>
            </w:r>
          </w:p>
        </w:tc>
        <w:tc>
          <w:tcPr>
            <w:tcW w:w="1000" w:type="pct"/>
            <w:tcBorders>
              <w:top w:val="dotted" w:sz="4" w:space="0" w:color="auto"/>
              <w:bottom w:val="dotted" w:sz="4" w:space="0" w:color="auto"/>
            </w:tcBorders>
          </w:tcPr>
          <w:p w14:paraId="33D331FC" w14:textId="77777777" w:rsidR="008B4B3C" w:rsidRPr="008A5334" w:rsidRDefault="008B4B3C" w:rsidP="00BF2179">
            <w:pPr>
              <w:pStyle w:val="Compact"/>
              <w:spacing w:after="120"/>
              <w:rPr>
                <w:rFonts w:ascii="Calibri" w:hAnsi="Calibri" w:cs="Calibri"/>
                <w:sz w:val="22"/>
                <w:szCs w:val="22"/>
              </w:rPr>
            </w:pPr>
            <w:r w:rsidRPr="008A5334">
              <w:rPr>
                <w:rFonts w:ascii="Calibri" w:hAnsi="Calibri" w:cs="Calibri"/>
                <w:sz w:val="22"/>
                <w:szCs w:val="22"/>
              </w:rPr>
              <w:t>29,962 n [25,828 – 184,069]</w:t>
            </w:r>
          </w:p>
        </w:tc>
        <w:tc>
          <w:tcPr>
            <w:tcW w:w="1000" w:type="pct"/>
            <w:tcBorders>
              <w:top w:val="dotted" w:sz="4" w:space="0" w:color="auto"/>
              <w:bottom w:val="dotted" w:sz="4" w:space="0" w:color="auto"/>
            </w:tcBorders>
          </w:tcPr>
          <w:p w14:paraId="483172ED" w14:textId="77777777" w:rsidR="008B4B3C" w:rsidRPr="008A5334" w:rsidRDefault="008B4B3C" w:rsidP="00BF2179">
            <w:pPr>
              <w:pStyle w:val="Compact"/>
              <w:spacing w:after="120"/>
              <w:rPr>
                <w:rFonts w:ascii="Calibri" w:hAnsi="Calibri" w:cs="Calibri"/>
                <w:sz w:val="22"/>
                <w:szCs w:val="22"/>
              </w:rPr>
            </w:pPr>
          </w:p>
        </w:tc>
        <w:tc>
          <w:tcPr>
            <w:tcW w:w="1000" w:type="pct"/>
            <w:tcBorders>
              <w:top w:val="dotted" w:sz="4" w:space="0" w:color="auto"/>
              <w:bottom w:val="dotted" w:sz="4" w:space="0" w:color="auto"/>
            </w:tcBorders>
          </w:tcPr>
          <w:p w14:paraId="2C12DAE5" w14:textId="77777777" w:rsidR="008B4B3C" w:rsidRPr="008A5334" w:rsidRDefault="008B4B3C" w:rsidP="00BF2179">
            <w:pPr>
              <w:pStyle w:val="Compact"/>
              <w:spacing w:after="120"/>
              <w:rPr>
                <w:rFonts w:ascii="Calibri" w:hAnsi="Calibri" w:cs="Calibri"/>
                <w:sz w:val="22"/>
                <w:szCs w:val="22"/>
              </w:rPr>
            </w:pPr>
          </w:p>
        </w:tc>
      </w:tr>
      <w:tr w:rsidR="008B4B3C" w:rsidRPr="008A5334" w14:paraId="59AB89A3" w14:textId="77777777" w:rsidTr="00BF2179">
        <w:tc>
          <w:tcPr>
            <w:tcW w:w="1000" w:type="pct"/>
            <w:tcBorders>
              <w:top w:val="dotted" w:sz="4" w:space="0" w:color="auto"/>
              <w:bottom w:val="single" w:sz="4" w:space="0" w:color="auto"/>
            </w:tcBorders>
          </w:tcPr>
          <w:p w14:paraId="25D65EA7"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single" w:sz="4" w:space="0" w:color="auto"/>
            </w:tcBorders>
          </w:tcPr>
          <w:p w14:paraId="2BF9E697" w14:textId="77777777" w:rsidR="008B4B3C" w:rsidRPr="008A5334" w:rsidRDefault="008B4B3C" w:rsidP="00BF2179">
            <w:pPr>
              <w:pStyle w:val="Compact"/>
              <w:jc w:val="center"/>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m:oMathPara>
          </w:p>
        </w:tc>
        <w:tc>
          <w:tcPr>
            <w:tcW w:w="1000" w:type="pct"/>
            <w:tcBorders>
              <w:top w:val="dotted" w:sz="4" w:space="0" w:color="auto"/>
              <w:bottom w:val="single" w:sz="4" w:space="0" w:color="auto"/>
            </w:tcBorders>
          </w:tcPr>
          <w:p w14:paraId="2D0FF1FE"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0.23 [0.08 – 0.69]</w:t>
            </w:r>
          </w:p>
        </w:tc>
        <w:tc>
          <w:tcPr>
            <w:tcW w:w="1000" w:type="pct"/>
            <w:tcBorders>
              <w:top w:val="dotted" w:sz="4" w:space="0" w:color="auto"/>
              <w:bottom w:val="single" w:sz="4" w:space="0" w:color="auto"/>
            </w:tcBorders>
          </w:tcPr>
          <w:p w14:paraId="57C36D85"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single" w:sz="4" w:space="0" w:color="auto"/>
            </w:tcBorders>
          </w:tcPr>
          <w:p w14:paraId="7F4D75C2" w14:textId="77777777" w:rsidR="008B4B3C" w:rsidRPr="008A5334" w:rsidRDefault="008B4B3C" w:rsidP="00BF2179">
            <w:pPr>
              <w:pStyle w:val="Compact"/>
              <w:rPr>
                <w:rFonts w:ascii="Calibri" w:hAnsi="Calibri" w:cs="Calibri"/>
                <w:sz w:val="22"/>
                <w:szCs w:val="22"/>
              </w:rPr>
            </w:pPr>
          </w:p>
        </w:tc>
      </w:tr>
      <w:tr w:rsidR="008B4B3C" w:rsidRPr="008A5334" w14:paraId="12818273" w14:textId="77777777" w:rsidTr="00BF2179">
        <w:tc>
          <w:tcPr>
            <w:tcW w:w="1000" w:type="pct"/>
            <w:tcBorders>
              <w:top w:val="single" w:sz="4" w:space="0" w:color="auto"/>
              <w:bottom w:val="single" w:sz="4" w:space="0" w:color="auto"/>
            </w:tcBorders>
            <w:shd w:val="clear" w:color="auto" w:fill="D9D9D9" w:themeFill="background1" w:themeFillShade="D9"/>
          </w:tcPr>
          <w:p w14:paraId="24CC1D4A"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Estimates</w:t>
            </w:r>
          </w:p>
        </w:tc>
        <w:tc>
          <w:tcPr>
            <w:tcW w:w="1000" w:type="pct"/>
            <w:tcBorders>
              <w:top w:val="single" w:sz="4" w:space="0" w:color="auto"/>
              <w:bottom w:val="single" w:sz="4" w:space="0" w:color="auto"/>
            </w:tcBorders>
            <w:shd w:val="clear" w:color="auto" w:fill="D9D9D9" w:themeFill="background1" w:themeFillShade="D9"/>
          </w:tcPr>
          <w:p w14:paraId="458C6903"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Metric</w:t>
            </w:r>
          </w:p>
        </w:tc>
        <w:tc>
          <w:tcPr>
            <w:tcW w:w="1000" w:type="pct"/>
            <w:tcBorders>
              <w:top w:val="single" w:sz="4" w:space="0" w:color="auto"/>
              <w:bottom w:val="single" w:sz="4" w:space="0" w:color="auto"/>
            </w:tcBorders>
            <w:shd w:val="clear" w:color="auto" w:fill="D9D9D9" w:themeFill="background1" w:themeFillShade="D9"/>
          </w:tcPr>
          <w:p w14:paraId="36A57CB8"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Median [2.5%-97.5% CI]</w:t>
            </w:r>
          </w:p>
        </w:tc>
        <w:tc>
          <w:tcPr>
            <w:tcW w:w="1000" w:type="pct"/>
            <w:tcBorders>
              <w:top w:val="single" w:sz="4" w:space="0" w:color="auto"/>
              <w:bottom w:val="single" w:sz="4" w:space="0" w:color="auto"/>
            </w:tcBorders>
            <w:shd w:val="clear" w:color="auto" w:fill="D9D9D9" w:themeFill="background1" w:themeFillShade="D9"/>
          </w:tcPr>
          <w:p w14:paraId="05AE7684"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Likelihood</w:t>
            </w:r>
          </w:p>
        </w:tc>
        <w:tc>
          <w:tcPr>
            <w:tcW w:w="1000" w:type="pct"/>
            <w:tcBorders>
              <w:top w:val="single" w:sz="4" w:space="0" w:color="auto"/>
              <w:bottom w:val="single" w:sz="4" w:space="0" w:color="auto"/>
            </w:tcBorders>
            <w:shd w:val="clear" w:color="auto" w:fill="D9D9D9" w:themeFill="background1" w:themeFillShade="D9"/>
          </w:tcPr>
          <w:p w14:paraId="11054700"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Recent trend / projection</w:t>
            </w:r>
          </w:p>
        </w:tc>
      </w:tr>
      <w:tr w:rsidR="008B4B3C" w:rsidRPr="008A5334" w14:paraId="19E9615A" w14:textId="77777777" w:rsidTr="00BF2179">
        <w:tc>
          <w:tcPr>
            <w:tcW w:w="1000" w:type="pct"/>
            <w:tcBorders>
              <w:top w:val="single" w:sz="4" w:space="0" w:color="auto"/>
              <w:bottom w:val="dotted" w:sz="4" w:space="0" w:color="auto"/>
            </w:tcBorders>
          </w:tcPr>
          <w:p w14:paraId="0D763924"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single" w:sz="4" w:space="0" w:color="auto"/>
              <w:bottom w:val="dotted" w:sz="4" w:space="0" w:color="auto"/>
            </w:tcBorders>
          </w:tcPr>
          <w:p w14:paraId="0B7AD8DF"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latest</m:t>
                    </m:r>
                  </m:sub>
                </m:sSub>
              </m:oMath>
            </m:oMathPara>
          </w:p>
        </w:tc>
        <w:tc>
          <w:tcPr>
            <w:tcW w:w="1000" w:type="pct"/>
            <w:tcBorders>
              <w:top w:val="single" w:sz="4" w:space="0" w:color="auto"/>
              <w:bottom w:val="dotted" w:sz="4" w:space="0" w:color="auto"/>
            </w:tcBorders>
          </w:tcPr>
          <w:p w14:paraId="02DE9EBC"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0.38 [0.14 – 0.96]</w:t>
            </w:r>
          </w:p>
        </w:tc>
        <w:tc>
          <w:tcPr>
            <w:tcW w:w="1000" w:type="pct"/>
            <w:tcBorders>
              <w:top w:val="single" w:sz="4" w:space="0" w:color="auto"/>
              <w:bottom w:val="dotted" w:sz="4" w:space="0" w:color="auto"/>
            </w:tcBorders>
          </w:tcPr>
          <w:p w14:paraId="317C3CDB" w14:textId="77777777" w:rsidR="008B4B3C" w:rsidRPr="008A5334" w:rsidRDefault="008B4B3C" w:rsidP="00BF2179">
            <w:pPr>
              <w:pStyle w:val="Compact"/>
              <w:rPr>
                <w:rFonts w:ascii="Calibri" w:hAnsi="Calibri" w:cs="Calibri"/>
                <w:sz w:val="22"/>
                <w:szCs w:val="22"/>
              </w:rPr>
            </w:pPr>
          </w:p>
        </w:tc>
        <w:tc>
          <w:tcPr>
            <w:tcW w:w="1000" w:type="pct"/>
            <w:tcBorders>
              <w:top w:val="single" w:sz="4" w:space="0" w:color="auto"/>
              <w:bottom w:val="dotted" w:sz="4" w:space="0" w:color="auto"/>
            </w:tcBorders>
          </w:tcPr>
          <w:p w14:paraId="06377DFF"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Increasing</w:t>
            </w:r>
          </w:p>
        </w:tc>
      </w:tr>
      <w:tr w:rsidR="008B4B3C" w:rsidRPr="008A5334" w14:paraId="6A9E334B" w14:textId="77777777" w:rsidTr="00BF2179">
        <w:tc>
          <w:tcPr>
            <w:tcW w:w="1000" w:type="pct"/>
            <w:tcBorders>
              <w:top w:val="dotted" w:sz="4" w:space="0" w:color="auto"/>
              <w:bottom w:val="dotted" w:sz="4" w:space="0" w:color="auto"/>
            </w:tcBorders>
          </w:tcPr>
          <w:p w14:paraId="294878A3"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dotted" w:sz="4" w:space="0" w:color="auto"/>
              <w:bottom w:val="dotted" w:sz="4" w:space="0" w:color="auto"/>
            </w:tcBorders>
          </w:tcPr>
          <w:p w14:paraId="5C48CEDE"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recent</m:t>
                    </m:r>
                  </m:sub>
                </m:sSub>
              </m:oMath>
            </m:oMathPara>
          </w:p>
        </w:tc>
        <w:tc>
          <w:tcPr>
            <w:tcW w:w="1000" w:type="pct"/>
            <w:tcBorders>
              <w:top w:val="dotted" w:sz="4" w:space="0" w:color="auto"/>
              <w:bottom w:val="dotted" w:sz="4" w:space="0" w:color="auto"/>
            </w:tcBorders>
          </w:tcPr>
          <w:p w14:paraId="703509B1"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0.37 [0.15 – 0.94]</w:t>
            </w:r>
          </w:p>
        </w:tc>
        <w:tc>
          <w:tcPr>
            <w:tcW w:w="1000" w:type="pct"/>
            <w:tcBorders>
              <w:top w:val="dotted" w:sz="4" w:space="0" w:color="auto"/>
              <w:bottom w:val="dotted" w:sz="4" w:space="0" w:color="auto"/>
            </w:tcBorders>
          </w:tcPr>
          <w:p w14:paraId="3DC1AC7C"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dotted" w:sz="4" w:space="0" w:color="auto"/>
            </w:tcBorders>
          </w:tcPr>
          <w:p w14:paraId="4A02DB27"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Increasing</w:t>
            </w:r>
          </w:p>
        </w:tc>
      </w:tr>
      <w:tr w:rsidR="008B4B3C" w:rsidRPr="008A5334" w14:paraId="0C4DA541" w14:textId="77777777" w:rsidTr="00BF2179">
        <w:tc>
          <w:tcPr>
            <w:tcW w:w="1000" w:type="pct"/>
            <w:tcBorders>
              <w:top w:val="dotted" w:sz="4" w:space="0" w:color="auto"/>
              <w:bottom w:val="dotted" w:sz="4" w:space="0" w:color="auto"/>
            </w:tcBorders>
          </w:tcPr>
          <w:p w14:paraId="5222B310"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lastRenderedPageBreak/>
              <w:t>Abundance</w:t>
            </w:r>
          </w:p>
        </w:tc>
        <w:tc>
          <w:tcPr>
            <w:tcW w:w="1000" w:type="pct"/>
            <w:tcBorders>
              <w:top w:val="dotted" w:sz="4" w:space="0" w:color="auto"/>
              <w:bottom w:val="dotted" w:sz="4" w:space="0" w:color="auto"/>
            </w:tcBorders>
          </w:tcPr>
          <w:p w14:paraId="183C5F75"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P</m:t>
                    </m:r>
                  </m:e>
                  <m:sub>
                    <m:r>
                      <w:rPr>
                        <w:rFonts w:ascii="Cambria Math" w:hAnsi="Cambria Math" w:cs="Calibri"/>
                        <w:sz w:val="22"/>
                        <w:szCs w:val="22"/>
                      </w:rPr>
                      <m:t>latest</m:t>
                    </m:r>
                  </m:sub>
                </m:sSub>
              </m:oMath>
            </m:oMathPara>
          </w:p>
        </w:tc>
        <w:tc>
          <w:tcPr>
            <w:tcW w:w="1000" w:type="pct"/>
            <w:tcBorders>
              <w:top w:val="dotted" w:sz="4" w:space="0" w:color="auto"/>
              <w:bottom w:val="dotted" w:sz="4" w:space="0" w:color="auto"/>
            </w:tcBorders>
          </w:tcPr>
          <w:p w14:paraId="5F26BB88"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121,943 n [34,067 – 1,479,253]</w:t>
            </w:r>
          </w:p>
        </w:tc>
        <w:tc>
          <w:tcPr>
            <w:tcW w:w="1000" w:type="pct"/>
            <w:tcBorders>
              <w:top w:val="dotted" w:sz="4" w:space="0" w:color="auto"/>
              <w:bottom w:val="dotted" w:sz="4" w:space="0" w:color="auto"/>
            </w:tcBorders>
          </w:tcPr>
          <w:p w14:paraId="6BF53ACD"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dotted" w:sz="4" w:space="0" w:color="auto"/>
            </w:tcBorders>
          </w:tcPr>
          <w:p w14:paraId="39DDC7FA"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Increasing</w:t>
            </w:r>
          </w:p>
        </w:tc>
      </w:tr>
      <w:tr w:rsidR="008B4B3C" w:rsidRPr="008A5334" w14:paraId="030D9F86" w14:textId="77777777" w:rsidTr="00BF2179">
        <w:tc>
          <w:tcPr>
            <w:tcW w:w="1000" w:type="pct"/>
            <w:tcBorders>
              <w:top w:val="dotted" w:sz="4" w:space="0" w:color="auto"/>
              <w:bottom w:val="dotted" w:sz="4" w:space="0" w:color="auto"/>
            </w:tcBorders>
          </w:tcPr>
          <w:p w14:paraId="19C96384"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Abundance</w:t>
            </w:r>
          </w:p>
        </w:tc>
        <w:tc>
          <w:tcPr>
            <w:tcW w:w="1000" w:type="pct"/>
            <w:tcBorders>
              <w:top w:val="dotted" w:sz="4" w:space="0" w:color="auto"/>
              <w:bottom w:val="dotted" w:sz="4" w:space="0" w:color="auto"/>
            </w:tcBorders>
          </w:tcPr>
          <w:p w14:paraId="5DFB7B92"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P</m:t>
                    </m:r>
                  </m:e>
                  <m:sub>
                    <m:r>
                      <w:rPr>
                        <w:rFonts w:ascii="Cambria Math" w:hAnsi="Cambria Math" w:cs="Calibri"/>
                        <w:sz w:val="22"/>
                        <w:szCs w:val="22"/>
                      </w:rPr>
                      <m:t>recent</m:t>
                    </m:r>
                  </m:sub>
                </m:sSub>
              </m:oMath>
            </m:oMathPara>
          </w:p>
        </w:tc>
        <w:tc>
          <w:tcPr>
            <w:tcW w:w="1000" w:type="pct"/>
            <w:tcBorders>
              <w:top w:val="dotted" w:sz="4" w:space="0" w:color="auto"/>
              <w:bottom w:val="dotted" w:sz="4" w:space="0" w:color="auto"/>
            </w:tcBorders>
          </w:tcPr>
          <w:p w14:paraId="13C067DC"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117,967 n [34,199 – 1,442,511]</w:t>
            </w:r>
          </w:p>
        </w:tc>
        <w:tc>
          <w:tcPr>
            <w:tcW w:w="1000" w:type="pct"/>
            <w:tcBorders>
              <w:top w:val="dotted" w:sz="4" w:space="0" w:color="auto"/>
              <w:bottom w:val="dotted" w:sz="4" w:space="0" w:color="auto"/>
            </w:tcBorders>
          </w:tcPr>
          <w:p w14:paraId="575D11E7"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dotted" w:sz="4" w:space="0" w:color="auto"/>
            </w:tcBorders>
          </w:tcPr>
          <w:p w14:paraId="2884A07D"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Increasing</w:t>
            </w:r>
          </w:p>
        </w:tc>
      </w:tr>
      <w:tr w:rsidR="008B4B3C" w:rsidRPr="008A5334" w14:paraId="4CB03D07" w14:textId="77777777" w:rsidTr="00BF2179">
        <w:tc>
          <w:tcPr>
            <w:tcW w:w="1000" w:type="pct"/>
            <w:tcBorders>
              <w:top w:val="dotted" w:sz="4" w:space="0" w:color="auto"/>
              <w:left w:val="dotted" w:sz="4" w:space="0" w:color="auto"/>
              <w:bottom w:val="dotted" w:sz="4" w:space="0" w:color="auto"/>
            </w:tcBorders>
          </w:tcPr>
          <w:p w14:paraId="3CAD8F6D"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Catch</w:t>
            </w:r>
          </w:p>
        </w:tc>
        <w:tc>
          <w:tcPr>
            <w:tcW w:w="1000" w:type="pct"/>
            <w:tcBorders>
              <w:top w:val="dotted" w:sz="4" w:space="0" w:color="auto"/>
              <w:bottom w:val="dotted" w:sz="4" w:space="0" w:color="auto"/>
            </w:tcBorders>
          </w:tcPr>
          <w:p w14:paraId="696427D5"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C</m:t>
                    </m:r>
                  </m:e>
                  <m:sub>
                    <m:r>
                      <w:rPr>
                        <w:rFonts w:ascii="Cambria Math" w:hAnsi="Cambria Math" w:cs="Calibri"/>
                        <w:sz w:val="22"/>
                        <w:szCs w:val="22"/>
                      </w:rPr>
                      <m:t>latest</m:t>
                    </m:r>
                  </m:sub>
                </m:sSub>
              </m:oMath>
            </m:oMathPara>
          </w:p>
        </w:tc>
        <w:tc>
          <w:tcPr>
            <w:tcW w:w="1000" w:type="pct"/>
            <w:tcBorders>
              <w:top w:val="dotted" w:sz="4" w:space="0" w:color="auto"/>
              <w:bottom w:val="dotted" w:sz="4" w:space="0" w:color="auto"/>
            </w:tcBorders>
          </w:tcPr>
          <w:p w14:paraId="4259020D"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17,488 n [11,545 – 25,988]</w:t>
            </w:r>
          </w:p>
        </w:tc>
        <w:tc>
          <w:tcPr>
            <w:tcW w:w="1000" w:type="pct"/>
            <w:tcBorders>
              <w:top w:val="dotted" w:sz="4" w:space="0" w:color="auto"/>
              <w:bottom w:val="dotted" w:sz="4" w:space="0" w:color="auto"/>
            </w:tcBorders>
          </w:tcPr>
          <w:p w14:paraId="6BB0873C"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dotted" w:sz="4" w:space="0" w:color="auto"/>
              <w:right w:val="dotted" w:sz="4" w:space="0" w:color="auto"/>
            </w:tcBorders>
          </w:tcPr>
          <w:p w14:paraId="6E40F2D1"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Stable, decreasing</w:t>
            </w:r>
          </w:p>
        </w:tc>
      </w:tr>
      <w:tr w:rsidR="008B4B3C" w:rsidRPr="008A5334" w14:paraId="7067FC3A" w14:textId="77777777" w:rsidTr="00BF2179">
        <w:tc>
          <w:tcPr>
            <w:tcW w:w="1000" w:type="pct"/>
            <w:tcBorders>
              <w:top w:val="dotted" w:sz="4" w:space="0" w:color="auto"/>
              <w:left w:val="dotted" w:sz="4" w:space="0" w:color="auto"/>
              <w:bottom w:val="dotted" w:sz="4" w:space="0" w:color="auto"/>
            </w:tcBorders>
          </w:tcPr>
          <w:p w14:paraId="20220E2F"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Catch</w:t>
            </w:r>
          </w:p>
        </w:tc>
        <w:tc>
          <w:tcPr>
            <w:tcW w:w="1000" w:type="pct"/>
            <w:tcBorders>
              <w:top w:val="dotted" w:sz="4" w:space="0" w:color="auto"/>
              <w:bottom w:val="dotted" w:sz="4" w:space="0" w:color="auto"/>
            </w:tcBorders>
          </w:tcPr>
          <w:p w14:paraId="5586F657"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C</m:t>
                    </m:r>
                  </m:e>
                  <m:sub>
                    <m:r>
                      <w:rPr>
                        <w:rFonts w:ascii="Cambria Math" w:hAnsi="Cambria Math" w:cs="Calibri"/>
                        <w:sz w:val="22"/>
                        <w:szCs w:val="22"/>
                      </w:rPr>
                      <m:t>recent</m:t>
                    </m:r>
                  </m:sub>
                </m:sSub>
              </m:oMath>
            </m:oMathPara>
          </w:p>
        </w:tc>
        <w:tc>
          <w:tcPr>
            <w:tcW w:w="1000" w:type="pct"/>
            <w:tcBorders>
              <w:top w:val="dotted" w:sz="4" w:space="0" w:color="auto"/>
              <w:bottom w:val="dotted" w:sz="4" w:space="0" w:color="auto"/>
            </w:tcBorders>
          </w:tcPr>
          <w:p w14:paraId="35A55C92"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20,570 n [13,357 – 28,058]</w:t>
            </w:r>
          </w:p>
        </w:tc>
        <w:tc>
          <w:tcPr>
            <w:tcW w:w="1000" w:type="pct"/>
            <w:tcBorders>
              <w:top w:val="dotted" w:sz="4" w:space="0" w:color="auto"/>
              <w:bottom w:val="dotted" w:sz="4" w:space="0" w:color="auto"/>
            </w:tcBorders>
          </w:tcPr>
          <w:p w14:paraId="23DD1546"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dotted" w:sz="4" w:space="0" w:color="auto"/>
              <w:right w:val="dotted" w:sz="4" w:space="0" w:color="auto"/>
            </w:tcBorders>
          </w:tcPr>
          <w:p w14:paraId="7385D5CD"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Stable, decreasing</w:t>
            </w:r>
          </w:p>
        </w:tc>
      </w:tr>
      <w:tr w:rsidR="008B4B3C" w:rsidRPr="008A5334" w14:paraId="12505A7E" w14:textId="77777777" w:rsidTr="00BF2179">
        <w:tc>
          <w:tcPr>
            <w:tcW w:w="1000" w:type="pct"/>
            <w:tcBorders>
              <w:top w:val="dotted" w:sz="4" w:space="0" w:color="auto"/>
              <w:left w:val="dotted" w:sz="4" w:space="0" w:color="auto"/>
              <w:bottom w:val="dotted" w:sz="4" w:space="0" w:color="auto"/>
            </w:tcBorders>
          </w:tcPr>
          <w:p w14:paraId="6044267E"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dotted" w:sz="4" w:space="0" w:color="auto"/>
            </w:tcBorders>
          </w:tcPr>
          <w:p w14:paraId="31859F7E"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latest</m:t>
                    </m:r>
                  </m:sub>
                </m:sSub>
              </m:oMath>
            </m:oMathPara>
          </w:p>
        </w:tc>
        <w:tc>
          <w:tcPr>
            <w:tcW w:w="1000" w:type="pct"/>
            <w:tcBorders>
              <w:top w:val="dotted" w:sz="4" w:space="0" w:color="auto"/>
              <w:bottom w:val="dotted" w:sz="4" w:space="0" w:color="auto"/>
            </w:tcBorders>
          </w:tcPr>
          <w:p w14:paraId="6E4477F1"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0.15 [0.01 – 0.47]</w:t>
            </w:r>
          </w:p>
        </w:tc>
        <w:tc>
          <w:tcPr>
            <w:tcW w:w="1000" w:type="pct"/>
            <w:tcBorders>
              <w:top w:val="dotted" w:sz="4" w:space="0" w:color="auto"/>
              <w:bottom w:val="dotted" w:sz="4" w:space="0" w:color="auto"/>
            </w:tcBorders>
          </w:tcPr>
          <w:p w14:paraId="53BA4A37"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dotted" w:sz="4" w:space="0" w:color="auto"/>
              <w:right w:val="dotted" w:sz="4" w:space="0" w:color="auto"/>
            </w:tcBorders>
          </w:tcPr>
          <w:p w14:paraId="2CBE0EF3"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Decreasing</w:t>
            </w:r>
          </w:p>
        </w:tc>
      </w:tr>
      <w:tr w:rsidR="008B4B3C" w:rsidRPr="008A5334" w14:paraId="63546E3E" w14:textId="77777777" w:rsidTr="00BF2179">
        <w:tc>
          <w:tcPr>
            <w:tcW w:w="1000" w:type="pct"/>
            <w:tcBorders>
              <w:top w:val="dotted" w:sz="4" w:space="0" w:color="auto"/>
              <w:bottom w:val="single" w:sz="4" w:space="0" w:color="auto"/>
            </w:tcBorders>
          </w:tcPr>
          <w:p w14:paraId="2FAC61ED"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single" w:sz="4" w:space="0" w:color="auto"/>
            </w:tcBorders>
          </w:tcPr>
          <w:p w14:paraId="033585E3"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recent</m:t>
                    </m:r>
                  </m:sub>
                </m:sSub>
              </m:oMath>
            </m:oMathPara>
          </w:p>
        </w:tc>
        <w:tc>
          <w:tcPr>
            <w:tcW w:w="1000" w:type="pct"/>
            <w:tcBorders>
              <w:top w:val="dotted" w:sz="4" w:space="0" w:color="auto"/>
              <w:bottom w:val="single" w:sz="4" w:space="0" w:color="auto"/>
            </w:tcBorders>
          </w:tcPr>
          <w:p w14:paraId="375DFF33"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0.17 [0.01 – 0.49]</w:t>
            </w:r>
          </w:p>
        </w:tc>
        <w:tc>
          <w:tcPr>
            <w:tcW w:w="1000" w:type="pct"/>
            <w:tcBorders>
              <w:top w:val="dotted" w:sz="4" w:space="0" w:color="auto"/>
              <w:bottom w:val="single" w:sz="4" w:space="0" w:color="auto"/>
            </w:tcBorders>
          </w:tcPr>
          <w:p w14:paraId="2C14280A" w14:textId="77777777" w:rsidR="008B4B3C" w:rsidRPr="008A5334" w:rsidRDefault="008B4B3C" w:rsidP="00BF2179">
            <w:pPr>
              <w:pStyle w:val="Compact"/>
              <w:rPr>
                <w:rFonts w:ascii="Calibri" w:hAnsi="Calibri" w:cs="Calibri"/>
                <w:sz w:val="22"/>
                <w:szCs w:val="22"/>
              </w:rPr>
            </w:pPr>
          </w:p>
        </w:tc>
        <w:tc>
          <w:tcPr>
            <w:tcW w:w="1000" w:type="pct"/>
            <w:tcBorders>
              <w:top w:val="dotted" w:sz="4" w:space="0" w:color="auto"/>
              <w:bottom w:val="single" w:sz="4" w:space="0" w:color="auto"/>
            </w:tcBorders>
          </w:tcPr>
          <w:p w14:paraId="1C50D051"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Decreasing</w:t>
            </w:r>
          </w:p>
        </w:tc>
      </w:tr>
      <w:tr w:rsidR="008B4B3C" w:rsidRPr="008A5334" w14:paraId="1AA153F2" w14:textId="77777777" w:rsidTr="00BF2179">
        <w:tc>
          <w:tcPr>
            <w:tcW w:w="1000" w:type="pct"/>
            <w:tcBorders>
              <w:top w:val="single" w:sz="4" w:space="0" w:color="auto"/>
              <w:bottom w:val="single" w:sz="4" w:space="0" w:color="auto"/>
            </w:tcBorders>
            <w:shd w:val="clear" w:color="auto" w:fill="D9D9D9" w:themeFill="background1" w:themeFillShade="D9"/>
          </w:tcPr>
          <w:p w14:paraId="391630EB"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Status</w:t>
            </w:r>
          </w:p>
        </w:tc>
        <w:tc>
          <w:tcPr>
            <w:tcW w:w="1000" w:type="pct"/>
            <w:tcBorders>
              <w:top w:val="single" w:sz="4" w:space="0" w:color="auto"/>
              <w:bottom w:val="single" w:sz="4" w:space="0" w:color="auto"/>
            </w:tcBorders>
            <w:shd w:val="clear" w:color="auto" w:fill="D9D9D9" w:themeFill="background1" w:themeFillShade="D9"/>
          </w:tcPr>
          <w:p w14:paraId="235F6C88"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Metric</w:t>
            </w:r>
          </w:p>
        </w:tc>
        <w:tc>
          <w:tcPr>
            <w:tcW w:w="1000" w:type="pct"/>
            <w:tcBorders>
              <w:top w:val="single" w:sz="4" w:space="0" w:color="auto"/>
              <w:bottom w:val="single" w:sz="4" w:space="0" w:color="auto"/>
            </w:tcBorders>
            <w:shd w:val="clear" w:color="auto" w:fill="D9D9D9" w:themeFill="background1" w:themeFillShade="D9"/>
          </w:tcPr>
          <w:p w14:paraId="1ED369FC"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Median [2.5%-97.5% CI]</w:t>
            </w:r>
          </w:p>
        </w:tc>
        <w:tc>
          <w:tcPr>
            <w:tcW w:w="1000" w:type="pct"/>
            <w:tcBorders>
              <w:top w:val="single" w:sz="4" w:space="0" w:color="auto"/>
              <w:bottom w:val="single" w:sz="4" w:space="0" w:color="auto"/>
            </w:tcBorders>
            <w:shd w:val="clear" w:color="auto" w:fill="D9D9D9" w:themeFill="background1" w:themeFillShade="D9"/>
          </w:tcPr>
          <w:p w14:paraId="2F95B473"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Likelihood</w:t>
            </w:r>
          </w:p>
        </w:tc>
        <w:tc>
          <w:tcPr>
            <w:tcW w:w="1000" w:type="pct"/>
            <w:tcBorders>
              <w:top w:val="single" w:sz="4" w:space="0" w:color="auto"/>
              <w:bottom w:val="single" w:sz="4" w:space="0" w:color="auto"/>
            </w:tcBorders>
            <w:shd w:val="clear" w:color="auto" w:fill="D9D9D9" w:themeFill="background1" w:themeFillShade="D9"/>
          </w:tcPr>
          <w:p w14:paraId="1D3879B2"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Recent trend / projection</w:t>
            </w:r>
          </w:p>
        </w:tc>
      </w:tr>
      <w:tr w:rsidR="008B4B3C" w:rsidRPr="008A5334" w14:paraId="15299671" w14:textId="77777777" w:rsidTr="00BF2179">
        <w:tc>
          <w:tcPr>
            <w:tcW w:w="1000" w:type="pct"/>
            <w:tcBorders>
              <w:top w:val="single" w:sz="4" w:space="0" w:color="auto"/>
              <w:bottom w:val="dotted" w:sz="4" w:space="0" w:color="auto"/>
            </w:tcBorders>
          </w:tcPr>
          <w:p w14:paraId="3A1E19D2"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single" w:sz="4" w:space="0" w:color="auto"/>
              <w:bottom w:val="dotted" w:sz="4" w:space="0" w:color="auto"/>
            </w:tcBorders>
          </w:tcPr>
          <w:p w14:paraId="2FD15BE4"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latest</m:t>
                    </m:r>
                  </m:sub>
                </m:sSub>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m:oMathPara>
          </w:p>
        </w:tc>
        <w:tc>
          <w:tcPr>
            <w:tcW w:w="1000" w:type="pct"/>
            <w:tcBorders>
              <w:top w:val="single" w:sz="4" w:space="0" w:color="auto"/>
              <w:bottom w:val="dotted" w:sz="4" w:space="0" w:color="auto"/>
            </w:tcBorders>
          </w:tcPr>
          <w:p w14:paraId="0DBF0210"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0.81 [0.32 – 2.36]</w:t>
            </w:r>
          </w:p>
        </w:tc>
        <w:tc>
          <w:tcPr>
            <w:tcW w:w="1000" w:type="pct"/>
            <w:tcBorders>
              <w:top w:val="single" w:sz="4" w:space="0" w:color="auto"/>
              <w:bottom w:val="dotted" w:sz="4" w:space="0" w:color="auto"/>
            </w:tcBorders>
          </w:tcPr>
          <w:p w14:paraId="73BED72F"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Likely (&gt;66%) to be below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w:p>
        </w:tc>
        <w:tc>
          <w:tcPr>
            <w:tcW w:w="1000" w:type="pct"/>
            <w:tcBorders>
              <w:top w:val="single" w:sz="4" w:space="0" w:color="auto"/>
              <w:bottom w:val="dotted" w:sz="4" w:space="0" w:color="auto"/>
            </w:tcBorders>
          </w:tcPr>
          <w:p w14:paraId="7B5208D4" w14:textId="77777777" w:rsidR="008B4B3C" w:rsidRPr="008A5334" w:rsidRDefault="008B4B3C" w:rsidP="00BF2179">
            <w:pPr>
              <w:pStyle w:val="Compact"/>
              <w:rPr>
                <w:rFonts w:ascii="Calibri" w:hAnsi="Calibri" w:cs="Calibri"/>
                <w:sz w:val="22"/>
                <w:szCs w:val="22"/>
              </w:rPr>
            </w:pPr>
          </w:p>
        </w:tc>
      </w:tr>
      <w:tr w:rsidR="008B4B3C" w:rsidRPr="008A5334" w14:paraId="5E152712" w14:textId="77777777" w:rsidTr="00BF2179">
        <w:tc>
          <w:tcPr>
            <w:tcW w:w="1000" w:type="pct"/>
            <w:tcBorders>
              <w:top w:val="dotted" w:sz="4" w:space="0" w:color="auto"/>
              <w:bottom w:val="dotted" w:sz="4" w:space="0" w:color="auto"/>
            </w:tcBorders>
          </w:tcPr>
          <w:p w14:paraId="777D3667"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dotted" w:sz="4" w:space="0" w:color="auto"/>
              <w:bottom w:val="dotted" w:sz="4" w:space="0" w:color="auto"/>
            </w:tcBorders>
          </w:tcPr>
          <w:p w14:paraId="199D06F4"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recent</m:t>
                    </m:r>
                  </m:sub>
                </m:sSub>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m:oMathPara>
          </w:p>
        </w:tc>
        <w:tc>
          <w:tcPr>
            <w:tcW w:w="1000" w:type="pct"/>
            <w:tcBorders>
              <w:top w:val="dotted" w:sz="4" w:space="0" w:color="auto"/>
              <w:bottom w:val="dotted" w:sz="4" w:space="0" w:color="auto"/>
            </w:tcBorders>
          </w:tcPr>
          <w:p w14:paraId="38208A18"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0.77 [0.33 – 2.3]</w:t>
            </w:r>
          </w:p>
        </w:tc>
        <w:tc>
          <w:tcPr>
            <w:tcW w:w="1000" w:type="pct"/>
            <w:tcBorders>
              <w:top w:val="dotted" w:sz="4" w:space="0" w:color="auto"/>
              <w:bottom w:val="dotted" w:sz="4" w:space="0" w:color="auto"/>
            </w:tcBorders>
          </w:tcPr>
          <w:p w14:paraId="535E912F"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Likely (&gt;66%) to be below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w:p>
        </w:tc>
        <w:tc>
          <w:tcPr>
            <w:tcW w:w="1000" w:type="pct"/>
            <w:tcBorders>
              <w:top w:val="dotted" w:sz="4" w:space="0" w:color="auto"/>
              <w:bottom w:val="dotted" w:sz="4" w:space="0" w:color="auto"/>
            </w:tcBorders>
          </w:tcPr>
          <w:p w14:paraId="6DF4A970" w14:textId="77777777" w:rsidR="008B4B3C" w:rsidRPr="008A5334" w:rsidRDefault="008B4B3C" w:rsidP="00BF2179">
            <w:pPr>
              <w:pStyle w:val="Compact"/>
              <w:rPr>
                <w:rFonts w:ascii="Calibri" w:hAnsi="Calibri" w:cs="Calibri"/>
                <w:sz w:val="22"/>
                <w:szCs w:val="22"/>
              </w:rPr>
            </w:pPr>
          </w:p>
        </w:tc>
      </w:tr>
      <w:tr w:rsidR="008B4B3C" w:rsidRPr="008A5334" w14:paraId="5EDA15DC" w14:textId="77777777" w:rsidTr="00BF2179">
        <w:tc>
          <w:tcPr>
            <w:tcW w:w="1000" w:type="pct"/>
            <w:tcBorders>
              <w:top w:val="dotted" w:sz="4" w:space="0" w:color="auto"/>
              <w:bottom w:val="dotted" w:sz="4" w:space="0" w:color="auto"/>
            </w:tcBorders>
          </w:tcPr>
          <w:p w14:paraId="6C88C144"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dotted" w:sz="4" w:space="0" w:color="auto"/>
            </w:tcBorders>
          </w:tcPr>
          <w:p w14:paraId="556B44D7"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latest</m:t>
                    </m:r>
                  </m:sub>
                </m:sSub>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m:oMathPara>
          </w:p>
        </w:tc>
        <w:tc>
          <w:tcPr>
            <w:tcW w:w="1000" w:type="pct"/>
            <w:tcBorders>
              <w:top w:val="dotted" w:sz="4" w:space="0" w:color="auto"/>
              <w:bottom w:val="dotted" w:sz="4" w:space="0" w:color="auto"/>
            </w:tcBorders>
          </w:tcPr>
          <w:p w14:paraId="0F3CBEC1"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0.69 [0.05 – 1.51]</w:t>
            </w:r>
          </w:p>
        </w:tc>
        <w:tc>
          <w:tcPr>
            <w:tcW w:w="1000" w:type="pct"/>
            <w:tcBorders>
              <w:top w:val="dotted" w:sz="4" w:space="0" w:color="auto"/>
              <w:bottom w:val="dotted" w:sz="4" w:space="0" w:color="auto"/>
            </w:tcBorders>
          </w:tcPr>
          <w:p w14:paraId="286EB301"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Unlikely (&lt;33%) to be above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w:p>
        </w:tc>
        <w:tc>
          <w:tcPr>
            <w:tcW w:w="1000" w:type="pct"/>
            <w:tcBorders>
              <w:top w:val="dotted" w:sz="4" w:space="0" w:color="auto"/>
              <w:bottom w:val="dotted" w:sz="4" w:space="0" w:color="auto"/>
            </w:tcBorders>
          </w:tcPr>
          <w:p w14:paraId="39D5EC61" w14:textId="77777777" w:rsidR="008B4B3C" w:rsidRPr="008A5334" w:rsidRDefault="008B4B3C" w:rsidP="00BF2179">
            <w:pPr>
              <w:pStyle w:val="Compact"/>
              <w:rPr>
                <w:rFonts w:ascii="Calibri" w:hAnsi="Calibri" w:cs="Calibri"/>
                <w:sz w:val="22"/>
                <w:szCs w:val="22"/>
              </w:rPr>
            </w:pPr>
          </w:p>
        </w:tc>
      </w:tr>
      <w:tr w:rsidR="008B4B3C" w:rsidRPr="008A5334" w14:paraId="0FAB08A6" w14:textId="77777777" w:rsidTr="00BF2179">
        <w:tc>
          <w:tcPr>
            <w:tcW w:w="1000" w:type="pct"/>
            <w:tcBorders>
              <w:top w:val="dotted" w:sz="4" w:space="0" w:color="auto"/>
              <w:bottom w:val="single" w:sz="4" w:space="0" w:color="auto"/>
            </w:tcBorders>
          </w:tcPr>
          <w:p w14:paraId="6F8583D8"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single" w:sz="4" w:space="0" w:color="auto"/>
            </w:tcBorders>
          </w:tcPr>
          <w:p w14:paraId="701FD706" w14:textId="77777777" w:rsidR="008B4B3C" w:rsidRPr="008A5334" w:rsidRDefault="008B4B3C" w:rsidP="00BF2179">
            <w:pPr>
              <w:pStyle w:val="Compact"/>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recent</m:t>
                    </m:r>
                  </m:sub>
                </m:sSub>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m:oMathPara>
          </w:p>
        </w:tc>
        <w:tc>
          <w:tcPr>
            <w:tcW w:w="1000" w:type="pct"/>
            <w:tcBorders>
              <w:top w:val="dotted" w:sz="4" w:space="0" w:color="auto"/>
              <w:bottom w:val="single" w:sz="4" w:space="0" w:color="auto"/>
            </w:tcBorders>
          </w:tcPr>
          <w:p w14:paraId="1088EE34"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0.77 [0.05 – 1.51]</w:t>
            </w:r>
          </w:p>
        </w:tc>
        <w:tc>
          <w:tcPr>
            <w:tcW w:w="1000" w:type="pct"/>
            <w:tcBorders>
              <w:top w:val="dotted" w:sz="4" w:space="0" w:color="auto"/>
              <w:bottom w:val="single" w:sz="4" w:space="0" w:color="auto"/>
            </w:tcBorders>
          </w:tcPr>
          <w:p w14:paraId="7026FF74"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Unlikely (&lt;33%) to be above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w:p>
        </w:tc>
        <w:tc>
          <w:tcPr>
            <w:tcW w:w="1000" w:type="pct"/>
            <w:tcBorders>
              <w:top w:val="dotted" w:sz="4" w:space="0" w:color="auto"/>
              <w:bottom w:val="single" w:sz="4" w:space="0" w:color="auto"/>
            </w:tcBorders>
          </w:tcPr>
          <w:p w14:paraId="2322F8AF" w14:textId="77777777" w:rsidR="008B4B3C" w:rsidRPr="008A5334" w:rsidRDefault="008B4B3C" w:rsidP="00BF2179">
            <w:pPr>
              <w:pStyle w:val="Compact"/>
              <w:rPr>
                <w:rFonts w:ascii="Calibri" w:hAnsi="Calibri" w:cs="Calibri"/>
                <w:sz w:val="22"/>
                <w:szCs w:val="22"/>
              </w:rPr>
            </w:pPr>
          </w:p>
        </w:tc>
      </w:tr>
      <w:tr w:rsidR="008B4B3C" w:rsidRPr="008A5334" w14:paraId="37461DEE" w14:textId="77777777" w:rsidTr="00BF2179">
        <w:tc>
          <w:tcPr>
            <w:tcW w:w="1000" w:type="pct"/>
            <w:tcBorders>
              <w:top w:val="single" w:sz="4" w:space="0" w:color="auto"/>
              <w:bottom w:val="single" w:sz="4" w:space="0" w:color="auto"/>
            </w:tcBorders>
            <w:shd w:val="clear" w:color="auto" w:fill="D9D9D9" w:themeFill="background1" w:themeFillShade="D9"/>
          </w:tcPr>
          <w:p w14:paraId="2F778F30"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Projections</w:t>
            </w:r>
          </w:p>
        </w:tc>
        <w:tc>
          <w:tcPr>
            <w:tcW w:w="1000" w:type="pct"/>
            <w:tcBorders>
              <w:top w:val="single" w:sz="4" w:space="0" w:color="auto"/>
              <w:bottom w:val="single" w:sz="4" w:space="0" w:color="auto"/>
            </w:tcBorders>
            <w:shd w:val="clear" w:color="auto" w:fill="D9D9D9" w:themeFill="background1" w:themeFillShade="D9"/>
          </w:tcPr>
          <w:p w14:paraId="18BCF7D6"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Metric</w:t>
            </w:r>
          </w:p>
        </w:tc>
        <w:tc>
          <w:tcPr>
            <w:tcW w:w="1000" w:type="pct"/>
            <w:tcBorders>
              <w:top w:val="single" w:sz="4" w:space="0" w:color="auto"/>
              <w:bottom w:val="single" w:sz="4" w:space="0" w:color="auto"/>
            </w:tcBorders>
            <w:shd w:val="clear" w:color="auto" w:fill="D9D9D9" w:themeFill="background1" w:themeFillShade="D9"/>
          </w:tcPr>
          <w:p w14:paraId="247C8697"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Median [2.5%-97.5% CI]</w:t>
            </w:r>
          </w:p>
        </w:tc>
        <w:tc>
          <w:tcPr>
            <w:tcW w:w="1000" w:type="pct"/>
            <w:tcBorders>
              <w:top w:val="single" w:sz="4" w:space="0" w:color="auto"/>
              <w:bottom w:val="single" w:sz="4" w:space="0" w:color="auto"/>
            </w:tcBorders>
            <w:shd w:val="clear" w:color="auto" w:fill="D9D9D9" w:themeFill="background1" w:themeFillShade="D9"/>
          </w:tcPr>
          <w:p w14:paraId="58440B06"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Likelihood</w:t>
            </w:r>
          </w:p>
        </w:tc>
        <w:tc>
          <w:tcPr>
            <w:tcW w:w="1000" w:type="pct"/>
            <w:tcBorders>
              <w:top w:val="single" w:sz="4" w:space="0" w:color="auto"/>
              <w:bottom w:val="single" w:sz="4" w:space="0" w:color="auto"/>
            </w:tcBorders>
            <w:shd w:val="clear" w:color="auto" w:fill="D9D9D9" w:themeFill="background1" w:themeFillShade="D9"/>
          </w:tcPr>
          <w:p w14:paraId="4567B98D" w14:textId="77777777" w:rsidR="008B4B3C" w:rsidRPr="008A5334" w:rsidRDefault="008B4B3C" w:rsidP="00BF2179">
            <w:pPr>
              <w:pStyle w:val="Compact"/>
              <w:rPr>
                <w:rFonts w:ascii="Calibri" w:hAnsi="Calibri" w:cs="Calibri"/>
                <w:sz w:val="22"/>
                <w:szCs w:val="22"/>
              </w:rPr>
            </w:pPr>
            <w:r w:rsidRPr="008A5334">
              <w:rPr>
                <w:rFonts w:ascii="Calibri" w:hAnsi="Calibri" w:cs="Calibri"/>
                <w:b/>
                <w:bCs/>
                <w:sz w:val="22"/>
                <w:szCs w:val="22"/>
              </w:rPr>
              <w:t>Recent trend / projection</w:t>
            </w:r>
          </w:p>
        </w:tc>
      </w:tr>
      <w:tr w:rsidR="008B4B3C" w:rsidRPr="008A5334" w14:paraId="53FCC815" w14:textId="77777777" w:rsidTr="00BF2179">
        <w:tc>
          <w:tcPr>
            <w:tcW w:w="1000" w:type="pct"/>
            <w:tcBorders>
              <w:top w:val="single" w:sz="4" w:space="0" w:color="auto"/>
              <w:bottom w:val="dotted" w:sz="4" w:space="0" w:color="auto"/>
            </w:tcBorders>
          </w:tcPr>
          <w:p w14:paraId="17F706C9"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Depletion</w:t>
            </w:r>
          </w:p>
        </w:tc>
        <w:tc>
          <w:tcPr>
            <w:tcW w:w="1000" w:type="pct"/>
            <w:tcBorders>
              <w:top w:val="single" w:sz="4" w:space="0" w:color="auto"/>
              <w:bottom w:val="dotted" w:sz="4" w:space="0" w:color="auto"/>
            </w:tcBorders>
          </w:tcPr>
          <w:p w14:paraId="7ACBFFE5" w14:textId="77777777" w:rsidR="008B4B3C" w:rsidRPr="008A5334" w:rsidRDefault="008B4B3C" w:rsidP="00BF2179">
            <w:pPr>
              <w:pStyle w:val="Compact"/>
              <w:rPr>
                <w:rFonts w:ascii="Calibri" w:hAnsi="Calibri" w:cs="Calibri"/>
                <w:sz w:val="22"/>
                <w:szCs w:val="22"/>
              </w:rPr>
            </w:pPr>
            <m:oMathPara>
              <m:oMath>
                <m:sSubSup>
                  <m:sSubSupPr>
                    <m:ctrlPr>
                      <w:rPr>
                        <w:rFonts w:ascii="Cambria Math" w:hAnsi="Cambria Math" w:cs="Calibri"/>
                        <w:sz w:val="22"/>
                        <w:szCs w:val="22"/>
                      </w:rPr>
                    </m:ctrlPr>
                  </m:sSubSupPr>
                  <m:e>
                    <m:r>
                      <w:rPr>
                        <w:rFonts w:ascii="Cambria Math" w:hAnsi="Cambria Math" w:cs="Calibri"/>
                        <w:sz w:val="22"/>
                        <w:szCs w:val="22"/>
                      </w:rPr>
                      <m:t>D</m:t>
                    </m:r>
                  </m:e>
                  <m:sub>
                    <m:r>
                      <w:rPr>
                        <w:rFonts w:ascii="Cambria Math" w:hAnsi="Cambria Math" w:cs="Calibri"/>
                        <w:sz w:val="22"/>
                        <w:szCs w:val="22"/>
                      </w:rPr>
                      <m:t>proj</m:t>
                    </m:r>
                  </m:sub>
                  <m:sup>
                    <m:r>
                      <w:rPr>
                        <w:rFonts w:ascii="Cambria Math" w:hAnsi="Cambria Math" w:cs="Calibri"/>
                        <w:sz w:val="22"/>
                        <w:szCs w:val="22"/>
                      </w:rPr>
                      <m:t>2027</m:t>
                    </m:r>
                  </m:sup>
                </m:sSubSup>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m:oMathPara>
          </w:p>
        </w:tc>
        <w:tc>
          <w:tcPr>
            <w:tcW w:w="1000" w:type="pct"/>
            <w:tcBorders>
              <w:top w:val="single" w:sz="4" w:space="0" w:color="auto"/>
              <w:bottom w:val="dotted" w:sz="4" w:space="0" w:color="auto"/>
            </w:tcBorders>
          </w:tcPr>
          <w:p w14:paraId="7F24DAD7"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1.1 [0.13 – 2.47]</w:t>
            </w:r>
          </w:p>
        </w:tc>
        <w:tc>
          <w:tcPr>
            <w:tcW w:w="1000" w:type="pct"/>
            <w:tcBorders>
              <w:top w:val="single" w:sz="4" w:space="0" w:color="auto"/>
              <w:bottom w:val="dotted" w:sz="4" w:space="0" w:color="auto"/>
            </w:tcBorders>
          </w:tcPr>
          <w:p w14:paraId="43EC649D"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About as Likely as Not (33-66%) to be below </w:t>
            </w: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MSY</m:t>
                  </m:r>
                </m:sub>
              </m:sSub>
            </m:oMath>
          </w:p>
        </w:tc>
        <w:tc>
          <w:tcPr>
            <w:tcW w:w="1000" w:type="pct"/>
            <w:tcBorders>
              <w:top w:val="single" w:sz="4" w:space="0" w:color="auto"/>
              <w:bottom w:val="dotted" w:sz="4" w:space="0" w:color="auto"/>
            </w:tcBorders>
          </w:tcPr>
          <w:p w14:paraId="5EDCB446" w14:textId="77777777" w:rsidR="008B4B3C" w:rsidRPr="008A5334" w:rsidRDefault="008B4B3C" w:rsidP="00BF2179">
            <w:pPr>
              <w:pStyle w:val="Compact"/>
              <w:rPr>
                <w:rFonts w:ascii="Calibri" w:hAnsi="Calibri" w:cs="Calibri"/>
                <w:sz w:val="22"/>
                <w:szCs w:val="22"/>
              </w:rPr>
            </w:pPr>
            <m:oMath>
              <m:sSub>
                <m:sSubPr>
                  <m:ctrlPr>
                    <w:rPr>
                      <w:rFonts w:ascii="Cambria Math" w:hAnsi="Cambria Math" w:cs="Calibri"/>
                      <w:sz w:val="22"/>
                      <w:szCs w:val="22"/>
                    </w:rPr>
                  </m:ctrlPr>
                </m:sSubPr>
                <m:e>
                  <m:r>
                    <w:rPr>
                      <w:rFonts w:ascii="Cambria Math" w:hAnsi="Cambria Math" w:cs="Calibri"/>
                      <w:sz w:val="22"/>
                      <w:szCs w:val="22"/>
                    </w:rPr>
                    <m:t>D</m:t>
                  </m:r>
                </m:e>
                <m:sub>
                  <m:r>
                    <w:rPr>
                      <w:rFonts w:ascii="Cambria Math" w:hAnsi="Cambria Math" w:cs="Calibri"/>
                      <w:sz w:val="22"/>
                      <w:szCs w:val="22"/>
                    </w:rPr>
                    <m:t>proj</m:t>
                  </m:r>
                </m:sub>
              </m:sSub>
            </m:oMath>
            <w:r w:rsidRPr="008A5334">
              <w:rPr>
                <w:rFonts w:ascii="Calibri" w:hAnsi="Calibri" w:cs="Calibri"/>
                <w:sz w:val="22"/>
                <w:szCs w:val="22"/>
              </w:rPr>
              <w:t xml:space="preserve"> increasing</w:t>
            </w:r>
          </w:p>
        </w:tc>
      </w:tr>
      <w:tr w:rsidR="008B4B3C" w:rsidRPr="008A5334" w14:paraId="355EBC66" w14:textId="77777777" w:rsidTr="00BF2179">
        <w:tc>
          <w:tcPr>
            <w:tcW w:w="1000" w:type="pct"/>
            <w:tcBorders>
              <w:top w:val="dotted" w:sz="4" w:space="0" w:color="auto"/>
              <w:bottom w:val="single" w:sz="4" w:space="0" w:color="auto"/>
            </w:tcBorders>
          </w:tcPr>
          <w:p w14:paraId="2394A1A0"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Fishing mortality</w:t>
            </w:r>
          </w:p>
        </w:tc>
        <w:tc>
          <w:tcPr>
            <w:tcW w:w="1000" w:type="pct"/>
            <w:tcBorders>
              <w:top w:val="dotted" w:sz="4" w:space="0" w:color="auto"/>
              <w:bottom w:val="single" w:sz="4" w:space="0" w:color="auto"/>
            </w:tcBorders>
          </w:tcPr>
          <w:p w14:paraId="1809425B" w14:textId="77777777" w:rsidR="008B4B3C" w:rsidRPr="008A5334" w:rsidRDefault="008B4B3C" w:rsidP="00BF2179">
            <w:pPr>
              <w:pStyle w:val="Compact"/>
              <w:rPr>
                <w:rFonts w:ascii="Calibri" w:hAnsi="Calibri" w:cs="Calibri"/>
                <w:sz w:val="22"/>
                <w:szCs w:val="22"/>
              </w:rPr>
            </w:pPr>
            <m:oMathPara>
              <m:oMath>
                <m:sSubSup>
                  <m:sSubSupPr>
                    <m:ctrlPr>
                      <w:rPr>
                        <w:rFonts w:ascii="Cambria Math" w:hAnsi="Cambria Math" w:cs="Calibri"/>
                        <w:sz w:val="22"/>
                        <w:szCs w:val="22"/>
                      </w:rPr>
                    </m:ctrlPr>
                  </m:sSubSupPr>
                  <m:e>
                    <m:r>
                      <w:rPr>
                        <w:rFonts w:ascii="Cambria Math" w:hAnsi="Cambria Math" w:cs="Calibri"/>
                        <w:sz w:val="22"/>
                        <w:szCs w:val="22"/>
                      </w:rPr>
                      <m:t>F</m:t>
                    </m:r>
                  </m:e>
                  <m:sub>
                    <m:r>
                      <w:rPr>
                        <w:rFonts w:ascii="Cambria Math" w:hAnsi="Cambria Math" w:cs="Calibri"/>
                        <w:sz w:val="22"/>
                        <w:szCs w:val="22"/>
                      </w:rPr>
                      <m:t>proj</m:t>
                    </m:r>
                  </m:sub>
                  <m:sup>
                    <m:r>
                      <w:rPr>
                        <w:rFonts w:ascii="Cambria Math" w:hAnsi="Cambria Math" w:cs="Calibri"/>
                        <w:sz w:val="22"/>
                        <w:szCs w:val="22"/>
                      </w:rPr>
                      <m:t>2027</m:t>
                    </m:r>
                  </m:sup>
                </m:sSubSup>
                <m:r>
                  <m:rPr>
                    <m:sty m:val="p"/>
                  </m:rPr>
                  <w:rPr>
                    <w:rFonts w:ascii="Cambria Math" w:hAnsi="Cambria Math" w:cs="Calibri"/>
                    <w:sz w:val="22"/>
                    <w:szCs w:val="22"/>
                  </w:rPr>
                  <m:t>/</m:t>
                </m:r>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m:oMathPara>
          </w:p>
        </w:tc>
        <w:tc>
          <w:tcPr>
            <w:tcW w:w="1000" w:type="pct"/>
            <w:tcBorders>
              <w:top w:val="dotted" w:sz="4" w:space="0" w:color="auto"/>
              <w:bottom w:val="single" w:sz="4" w:space="0" w:color="auto"/>
            </w:tcBorders>
          </w:tcPr>
          <w:p w14:paraId="36435E9F"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0.6 [0.04 – 19.3]</w:t>
            </w:r>
          </w:p>
        </w:tc>
        <w:tc>
          <w:tcPr>
            <w:tcW w:w="1000" w:type="pct"/>
            <w:tcBorders>
              <w:top w:val="dotted" w:sz="4" w:space="0" w:color="auto"/>
              <w:bottom w:val="single" w:sz="4" w:space="0" w:color="auto"/>
            </w:tcBorders>
          </w:tcPr>
          <w:p w14:paraId="5191D121" w14:textId="77777777" w:rsidR="008B4B3C" w:rsidRPr="008A5334" w:rsidRDefault="008B4B3C" w:rsidP="00BF2179">
            <w:pPr>
              <w:pStyle w:val="Compact"/>
              <w:rPr>
                <w:rFonts w:ascii="Calibri" w:hAnsi="Calibri" w:cs="Calibri"/>
                <w:sz w:val="22"/>
                <w:szCs w:val="22"/>
              </w:rPr>
            </w:pPr>
            <w:r w:rsidRPr="008A5334">
              <w:rPr>
                <w:rFonts w:ascii="Calibri" w:hAnsi="Calibri" w:cs="Calibri"/>
                <w:sz w:val="22"/>
                <w:szCs w:val="22"/>
              </w:rPr>
              <w:t xml:space="preserve">Unlikely (&lt;33%) to be above </w:t>
            </w: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MSY</m:t>
                  </m:r>
                </m:sub>
              </m:sSub>
            </m:oMath>
          </w:p>
        </w:tc>
        <w:tc>
          <w:tcPr>
            <w:tcW w:w="1000" w:type="pct"/>
            <w:tcBorders>
              <w:top w:val="dotted" w:sz="4" w:space="0" w:color="auto"/>
              <w:bottom w:val="single" w:sz="4" w:space="0" w:color="auto"/>
            </w:tcBorders>
          </w:tcPr>
          <w:p w14:paraId="6210B0E2" w14:textId="77777777" w:rsidR="008B4B3C" w:rsidRPr="008A5334" w:rsidRDefault="008B4B3C" w:rsidP="00BF2179">
            <w:pPr>
              <w:pStyle w:val="Compact"/>
              <w:rPr>
                <w:rFonts w:ascii="Calibri" w:hAnsi="Calibri" w:cs="Calibri"/>
                <w:sz w:val="22"/>
                <w:szCs w:val="22"/>
              </w:rPr>
            </w:pPr>
            <m:oMath>
              <m:sSub>
                <m:sSubPr>
                  <m:ctrlPr>
                    <w:rPr>
                      <w:rFonts w:ascii="Cambria Math" w:hAnsi="Cambria Math" w:cs="Calibri"/>
                      <w:sz w:val="22"/>
                      <w:szCs w:val="22"/>
                    </w:rPr>
                  </m:ctrlPr>
                </m:sSubPr>
                <m:e>
                  <m:r>
                    <w:rPr>
                      <w:rFonts w:ascii="Cambria Math" w:hAnsi="Cambria Math" w:cs="Calibri"/>
                      <w:sz w:val="22"/>
                      <w:szCs w:val="22"/>
                    </w:rPr>
                    <m:t>F</m:t>
                  </m:r>
                </m:e>
                <m:sub>
                  <m:r>
                    <w:rPr>
                      <w:rFonts w:ascii="Cambria Math" w:hAnsi="Cambria Math" w:cs="Calibri"/>
                      <w:sz w:val="22"/>
                      <w:szCs w:val="22"/>
                    </w:rPr>
                    <m:t>proj</m:t>
                  </m:r>
                </m:sub>
              </m:sSub>
            </m:oMath>
            <w:r w:rsidRPr="008A5334">
              <w:rPr>
                <w:rFonts w:ascii="Calibri" w:hAnsi="Calibri" w:cs="Calibri"/>
                <w:sz w:val="22"/>
                <w:szCs w:val="22"/>
              </w:rPr>
              <w:t xml:space="preserve"> decreasing</w:t>
            </w:r>
          </w:p>
        </w:tc>
      </w:tr>
    </w:tbl>
    <w:p w14:paraId="0E6E56EC" w14:textId="77777777" w:rsidR="008B4B3C" w:rsidRPr="008A5334" w:rsidRDefault="008B4B3C" w:rsidP="008B4B3C">
      <w:pPr>
        <w:rPr>
          <w:rFonts w:cs="Calibri"/>
        </w:rPr>
        <w:sectPr w:rsidR="008B4B3C" w:rsidRPr="008A5334" w:rsidSect="008B4B3C">
          <w:pgSz w:w="15840" w:h="12240" w:code="1"/>
          <w:pgMar w:top="1080" w:right="1440" w:bottom="1080" w:left="1440" w:header="720" w:footer="720" w:gutter="0"/>
          <w:cols w:space="720"/>
          <w:docGrid w:linePitch="360"/>
        </w:sectPr>
      </w:pPr>
    </w:p>
    <w:p w14:paraId="3A094240" w14:textId="77777777" w:rsidR="008B4B3C" w:rsidRPr="008A5334" w:rsidRDefault="008B4B3C" w:rsidP="008B4B3C">
      <w:pPr>
        <w:rPr>
          <w:rFonts w:cs="Calibri"/>
        </w:rPr>
      </w:pPr>
    </w:p>
    <w:p w14:paraId="103F52AA" w14:textId="77777777" w:rsidR="008B4B3C" w:rsidRPr="008A5334" w:rsidRDefault="008B4B3C" w:rsidP="008B4B3C">
      <w:pPr>
        <w:keepNext/>
        <w:rPr>
          <w:rFonts w:cs="Calibri"/>
        </w:rPr>
      </w:pPr>
      <w:r w:rsidRPr="008A5334">
        <w:rPr>
          <w:rFonts w:cs="Calibri"/>
          <w:noProof/>
        </w:rPr>
        <w:drawing>
          <wp:inline distT="0" distB="0" distL="0" distR="0" wp14:anchorId="7E730F62" wp14:editId="4061C9E7">
            <wp:extent cx="5943600" cy="5943600"/>
            <wp:effectExtent l="0" t="0" r="0" b="0"/>
            <wp:docPr id="5" name="Picture 5" descr="A diagram of a number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number of different types of data&#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8530D2F" w14:textId="77777777" w:rsidR="008B4B3C" w:rsidRPr="008A5334" w:rsidRDefault="008B4B3C" w:rsidP="008B4B3C">
      <w:pPr>
        <w:pStyle w:val="Caption"/>
        <w:jc w:val="both"/>
        <w:rPr>
          <w:rFonts w:cs="Calibri"/>
          <w:b/>
          <w:bCs/>
          <w:szCs w:val="22"/>
        </w:rPr>
      </w:pPr>
      <w:bookmarkStart w:id="10" w:name="_Ref206231791"/>
      <w:r w:rsidRPr="008A5334">
        <w:rPr>
          <w:rFonts w:cs="Calibri"/>
          <w:bCs/>
          <w:szCs w:val="22"/>
        </w:rPr>
        <w:t>Figure MLS-0</w:t>
      </w:r>
      <w:r w:rsidRPr="008A5334">
        <w:rPr>
          <w:rFonts w:cs="Calibri"/>
          <w:b/>
          <w:bCs/>
          <w:szCs w:val="22"/>
        </w:rPr>
        <w:fldChar w:fldCharType="begin"/>
      </w:r>
      <w:r w:rsidRPr="008A5334">
        <w:rPr>
          <w:rFonts w:cs="Calibri"/>
          <w:bCs/>
          <w:szCs w:val="22"/>
        </w:rPr>
        <w:instrText xml:space="preserve"> SEQ Figure \* ARABIC </w:instrText>
      </w:r>
      <w:r w:rsidRPr="008A5334">
        <w:rPr>
          <w:rFonts w:cs="Calibri"/>
          <w:b/>
          <w:bCs/>
          <w:szCs w:val="22"/>
        </w:rPr>
        <w:fldChar w:fldCharType="separate"/>
      </w:r>
      <w:r>
        <w:rPr>
          <w:rFonts w:cs="Calibri"/>
          <w:bCs/>
          <w:noProof/>
          <w:szCs w:val="22"/>
        </w:rPr>
        <w:t>5</w:t>
      </w:r>
      <w:r w:rsidRPr="008A5334">
        <w:rPr>
          <w:rFonts w:cs="Calibri"/>
          <w:b/>
          <w:bCs/>
          <w:szCs w:val="22"/>
        </w:rPr>
        <w:fldChar w:fldCharType="end"/>
      </w:r>
      <w:bookmarkEnd w:id="10"/>
      <w:r w:rsidRPr="008A5334">
        <w:rPr>
          <w:rFonts w:cs="Calibri"/>
          <w:szCs w:val="22"/>
        </w:rPr>
        <w:t xml:space="preserve">. </w:t>
      </w:r>
      <w:r w:rsidRPr="008A5334">
        <w:rPr>
          <w:rFonts w:cs="Calibri"/>
          <w:bCs/>
          <w:szCs w:val="22"/>
        </w:rPr>
        <w:t xml:space="preserve">Majuro plot showing the median posterior estimate of </w:t>
      </w:r>
      <w:r>
        <w:rPr>
          <w:rFonts w:cs="Calibri"/>
          <w:bCs/>
          <w:szCs w:val="22"/>
        </w:rPr>
        <w:t xml:space="preserve">the </w:t>
      </w:r>
      <w:r w:rsidRPr="008A5334">
        <w:rPr>
          <w:rFonts w:cs="Calibri"/>
          <w:bCs/>
          <w:szCs w:val="22"/>
        </w:rPr>
        <w:t>latest stock depletion (</w:t>
      </w:r>
      <m:oMath>
        <m:sSub>
          <m:sSubPr>
            <m:ctrlPr>
              <w:rPr>
                <w:rFonts w:ascii="Cambria Math" w:hAnsi="Cambria Math" w:cs="Calibri"/>
                <w:bCs/>
                <w:szCs w:val="22"/>
              </w:rPr>
            </m:ctrlPr>
          </m:sSubPr>
          <m:e>
            <m:r>
              <m:rPr>
                <m:sty m:val="bi"/>
              </m:rPr>
              <w:rPr>
                <w:rFonts w:ascii="Cambria Math" w:hAnsi="Cambria Math" w:cs="Calibri"/>
                <w:szCs w:val="22"/>
              </w:rPr>
              <m:t>D</m:t>
            </m:r>
          </m:e>
          <m:sub>
            <m:r>
              <m:rPr>
                <m:sty m:val="bi"/>
              </m:rPr>
              <w:rPr>
                <w:rFonts w:ascii="Cambria Math" w:hAnsi="Cambria Math" w:cs="Calibri"/>
                <w:szCs w:val="22"/>
              </w:rPr>
              <m:t>latest</m:t>
            </m:r>
          </m:sub>
        </m:sSub>
        <m:r>
          <m:rPr>
            <m:sty m:val="bi"/>
          </m:rPr>
          <w:rPr>
            <w:rFonts w:ascii="Cambria Math" w:hAnsi="Cambria Math" w:cs="Calibri"/>
            <w:szCs w:val="22"/>
          </w:rPr>
          <m:t xml:space="preserve"> = </m:t>
        </m:r>
        <m:sSub>
          <m:sSubPr>
            <m:ctrlPr>
              <w:rPr>
                <w:rFonts w:ascii="Cambria Math" w:hAnsi="Cambria Math" w:cs="Calibri"/>
                <w:bCs/>
                <w:szCs w:val="22"/>
              </w:rPr>
            </m:ctrlPr>
          </m:sSubPr>
          <m:e>
            <m:r>
              <m:rPr>
                <m:sty m:val="bi"/>
              </m:rPr>
              <w:rPr>
                <w:rFonts w:ascii="Cambria Math" w:hAnsi="Cambria Math" w:cs="Calibri"/>
                <w:szCs w:val="22"/>
              </w:rPr>
              <m:t>P</m:t>
            </m:r>
          </m:e>
          <m:sub>
            <m:r>
              <m:rPr>
                <m:sty m:val="bi"/>
              </m:rPr>
              <w:rPr>
                <w:rFonts w:ascii="Cambria Math" w:hAnsi="Cambria Math" w:cs="Calibri"/>
                <w:szCs w:val="22"/>
              </w:rPr>
              <m:t>latest</m:t>
            </m:r>
          </m:sub>
        </m:sSub>
        <m:r>
          <m:rPr>
            <m:sty m:val="bi"/>
          </m:rPr>
          <w:rPr>
            <w:rFonts w:ascii="Cambria Math" w:hAnsi="Cambria Math" w:cs="Calibri"/>
            <w:szCs w:val="22"/>
          </w:rPr>
          <m:t>/</m:t>
        </m:r>
        <m:sSub>
          <m:sSubPr>
            <m:ctrlPr>
              <w:rPr>
                <w:rFonts w:ascii="Cambria Math" w:hAnsi="Cambria Math" w:cs="Calibri"/>
                <w:bCs/>
                <w:szCs w:val="22"/>
              </w:rPr>
            </m:ctrlPr>
          </m:sSubPr>
          <m:e>
            <m:r>
              <m:rPr>
                <m:sty m:val="bi"/>
              </m:rPr>
              <w:rPr>
                <w:rFonts w:ascii="Cambria Math" w:hAnsi="Cambria Math" w:cs="Calibri"/>
                <w:szCs w:val="22"/>
              </w:rPr>
              <m:t>P</m:t>
            </m:r>
          </m:e>
          <m:sub>
            <m:r>
              <m:rPr>
                <m:sty m:val="bi"/>
              </m:rPr>
              <w:rPr>
                <w:rFonts w:ascii="Cambria Math" w:hAnsi="Cambria Math" w:cs="Calibri"/>
                <w:szCs w:val="22"/>
              </w:rPr>
              <m:t>0</m:t>
            </m:r>
          </m:sub>
        </m:sSub>
      </m:oMath>
      <w:r w:rsidRPr="008A5334">
        <w:rPr>
          <w:rFonts w:cs="Calibri"/>
          <w:bCs/>
          <w:szCs w:val="22"/>
        </w:rPr>
        <w:t>) and fishing mortality relative to MSY (</w:t>
      </w:r>
      <m:oMath>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latest</m:t>
            </m:r>
          </m:sub>
        </m:sSub>
        <m:r>
          <m:rPr>
            <m:sty m:val="bi"/>
          </m:rPr>
          <w:rPr>
            <w:rFonts w:ascii="Cambria Math" w:hAnsi="Cambria Math" w:cs="Calibri"/>
            <w:szCs w:val="22"/>
          </w:rPr>
          <m:t>/</m:t>
        </m:r>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Cs/>
          <w:szCs w:val="22"/>
        </w:rPr>
        <w:t xml:space="preserve"> ). Points represent model estimates colored by year (blue </w:t>
      </w:r>
      <w:r w:rsidRPr="008A5334">
        <w:rPr>
          <w:rFonts w:ascii="Cambria Math" w:hAnsi="Cambria Math" w:cs="Cambria Math"/>
          <w:bCs/>
          <w:szCs w:val="22"/>
        </w:rPr>
        <w:t>∼</w:t>
      </w:r>
      <w:r w:rsidRPr="008A5334">
        <w:rPr>
          <w:rFonts w:cs="Calibri"/>
          <w:bCs/>
          <w:szCs w:val="22"/>
        </w:rPr>
        <w:t xml:space="preserve"> 2020, green </w:t>
      </w:r>
      <w:r w:rsidRPr="008A5334">
        <w:rPr>
          <w:rFonts w:ascii="Cambria Math" w:hAnsi="Cambria Math" w:cs="Cambria Math"/>
          <w:bCs/>
          <w:szCs w:val="22"/>
        </w:rPr>
        <w:t>∼</w:t>
      </w:r>
      <w:r w:rsidRPr="008A5334">
        <w:rPr>
          <w:rFonts w:cs="Calibri"/>
          <w:bCs/>
          <w:szCs w:val="22"/>
        </w:rPr>
        <w:t xml:space="preserve"> 1985, orange </w:t>
      </w:r>
      <w:r w:rsidRPr="008A5334">
        <w:rPr>
          <w:rFonts w:ascii="Cambria Math" w:hAnsi="Cambria Math" w:cs="Cambria Math"/>
          <w:bCs/>
          <w:szCs w:val="22"/>
        </w:rPr>
        <w:t>∼</w:t>
      </w:r>
      <w:r w:rsidRPr="008A5334">
        <w:rPr>
          <w:rFonts w:cs="Calibri"/>
          <w:bCs/>
          <w:szCs w:val="22"/>
        </w:rPr>
        <w:t xml:space="preserve"> 1950), with </w:t>
      </w:r>
      <w:r>
        <w:rPr>
          <w:rFonts w:cs="Calibri"/>
          <w:bCs/>
          <w:szCs w:val="22"/>
        </w:rPr>
        <w:t xml:space="preserve">a </w:t>
      </w:r>
      <w:r w:rsidRPr="008A5334">
        <w:rPr>
          <w:rFonts w:cs="Calibri"/>
          <w:bCs/>
          <w:szCs w:val="22"/>
        </w:rPr>
        <w:t xml:space="preserve">connecting line showing the trajectory over time. The gray shaded contour is the bi-variate 95% credible distribution around the terminal year estimate </w:t>
      </w:r>
      <m:oMath>
        <m:sSub>
          <m:sSubPr>
            <m:ctrlPr>
              <w:rPr>
                <w:rFonts w:ascii="Cambria Math" w:hAnsi="Cambria Math" w:cs="Calibri"/>
                <w:bCs/>
                <w:szCs w:val="22"/>
              </w:rPr>
            </m:ctrlPr>
          </m:sSubPr>
          <m:e>
            <m:r>
              <m:rPr>
                <m:sty m:val="bi"/>
              </m:rPr>
              <w:rPr>
                <w:rFonts w:ascii="Cambria Math" w:hAnsi="Cambria Math" w:cs="Calibri"/>
                <w:szCs w:val="22"/>
              </w:rPr>
              <m:t>D</m:t>
            </m:r>
          </m:e>
          <m:sub>
            <m:r>
              <m:rPr>
                <m:sty m:val="bi"/>
              </m:rPr>
              <w:rPr>
                <w:rFonts w:ascii="Cambria Math" w:hAnsi="Cambria Math" w:cs="Calibri"/>
                <w:szCs w:val="22"/>
              </w:rPr>
              <m:t>2022</m:t>
            </m:r>
          </m:sub>
        </m:sSub>
      </m:oMath>
      <w:r w:rsidRPr="008A5334">
        <w:rPr>
          <w:rFonts w:cs="Calibri"/>
          <w:bCs/>
          <w:szCs w:val="22"/>
        </w:rPr>
        <w:t xml:space="preserve"> and </w:t>
      </w:r>
      <m:oMath>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2021</m:t>
            </m:r>
          </m:sub>
        </m:sSub>
        <m:r>
          <m:rPr>
            <m:sty m:val="bi"/>
          </m:rPr>
          <w:rPr>
            <w:rFonts w:ascii="Cambria Math" w:hAnsi="Cambria Math" w:cs="Calibri"/>
            <w:szCs w:val="22"/>
          </w:rPr>
          <m:t>/</m:t>
        </m:r>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Cs/>
          <w:szCs w:val="22"/>
        </w:rPr>
        <w:t>.</w:t>
      </w:r>
    </w:p>
    <w:p w14:paraId="552DC493" w14:textId="77777777" w:rsidR="008B4B3C" w:rsidRPr="008A5334" w:rsidRDefault="008B4B3C" w:rsidP="008B4B3C">
      <w:pPr>
        <w:keepNext/>
        <w:rPr>
          <w:rFonts w:cs="Calibri"/>
        </w:rPr>
      </w:pPr>
      <w:r w:rsidRPr="008A5334">
        <w:rPr>
          <w:rFonts w:cs="Calibri"/>
          <w:noProof/>
        </w:rPr>
        <w:lastRenderedPageBreak/>
        <w:drawing>
          <wp:inline distT="0" distB="0" distL="0" distR="0" wp14:anchorId="7C674187" wp14:editId="00791686">
            <wp:extent cx="5943600" cy="5943600"/>
            <wp:effectExtent l="0" t="0" r="0" b="0"/>
            <wp:docPr id="6" name="Picture 6" descr="A diagram of a number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number of different colored squar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7DB28F2" w14:textId="77777777" w:rsidR="008B4B3C" w:rsidRPr="008A5334" w:rsidRDefault="008B4B3C" w:rsidP="008B4B3C">
      <w:pPr>
        <w:pStyle w:val="Caption"/>
        <w:jc w:val="both"/>
        <w:rPr>
          <w:rFonts w:cs="Calibri"/>
          <w:b/>
          <w:bCs/>
          <w:szCs w:val="22"/>
        </w:rPr>
      </w:pPr>
      <w:bookmarkStart w:id="11" w:name="_Ref206231800"/>
      <w:r w:rsidRPr="008A5334">
        <w:rPr>
          <w:rFonts w:cs="Calibri"/>
          <w:bCs/>
          <w:szCs w:val="22"/>
        </w:rPr>
        <w:t>Figure MLS-0</w:t>
      </w:r>
      <w:r w:rsidRPr="008A5334">
        <w:rPr>
          <w:rFonts w:cs="Calibri"/>
          <w:b/>
          <w:bCs/>
          <w:szCs w:val="22"/>
        </w:rPr>
        <w:fldChar w:fldCharType="begin"/>
      </w:r>
      <w:r w:rsidRPr="008A5334">
        <w:rPr>
          <w:rFonts w:cs="Calibri"/>
          <w:bCs/>
          <w:szCs w:val="22"/>
        </w:rPr>
        <w:instrText xml:space="preserve"> SEQ Figure \* ARABIC </w:instrText>
      </w:r>
      <w:r w:rsidRPr="008A5334">
        <w:rPr>
          <w:rFonts w:cs="Calibri"/>
          <w:b/>
          <w:bCs/>
          <w:szCs w:val="22"/>
        </w:rPr>
        <w:fldChar w:fldCharType="separate"/>
      </w:r>
      <w:r>
        <w:rPr>
          <w:rFonts w:cs="Calibri"/>
          <w:bCs/>
          <w:noProof/>
          <w:szCs w:val="22"/>
        </w:rPr>
        <w:t>6</w:t>
      </w:r>
      <w:r w:rsidRPr="008A5334">
        <w:rPr>
          <w:rFonts w:cs="Calibri"/>
          <w:b/>
          <w:bCs/>
          <w:szCs w:val="22"/>
        </w:rPr>
        <w:fldChar w:fldCharType="end"/>
      </w:r>
      <w:bookmarkEnd w:id="11"/>
      <w:r w:rsidRPr="008A5334">
        <w:rPr>
          <w:rFonts w:cs="Calibri"/>
          <w:bCs/>
          <w:szCs w:val="22"/>
        </w:rPr>
        <w:t xml:space="preserve">. Kobe plot showing the median posterior estimate of </w:t>
      </w:r>
      <w:r>
        <w:rPr>
          <w:rFonts w:cs="Calibri"/>
          <w:bCs/>
          <w:szCs w:val="22"/>
        </w:rPr>
        <w:t xml:space="preserve">the </w:t>
      </w:r>
      <w:r w:rsidRPr="008A5334">
        <w:rPr>
          <w:rFonts w:cs="Calibri"/>
          <w:bCs/>
          <w:szCs w:val="22"/>
        </w:rPr>
        <w:t>latest stock depletion relative to depletion at MSY (</w:t>
      </w:r>
      <m:oMath>
        <m:sSub>
          <m:sSubPr>
            <m:ctrlPr>
              <w:rPr>
                <w:rFonts w:ascii="Cambria Math" w:hAnsi="Cambria Math" w:cs="Calibri"/>
                <w:bCs/>
                <w:szCs w:val="22"/>
              </w:rPr>
            </m:ctrlPr>
          </m:sSubPr>
          <m:e>
            <m:r>
              <m:rPr>
                <m:sty m:val="bi"/>
              </m:rPr>
              <w:rPr>
                <w:rFonts w:ascii="Cambria Math" w:hAnsi="Cambria Math" w:cs="Calibri"/>
                <w:szCs w:val="22"/>
              </w:rPr>
              <m:t>D</m:t>
            </m:r>
          </m:e>
          <m:sub>
            <m:r>
              <m:rPr>
                <m:sty m:val="bi"/>
              </m:rPr>
              <w:rPr>
                <w:rFonts w:ascii="Cambria Math" w:hAnsi="Cambria Math" w:cs="Calibri"/>
                <w:szCs w:val="22"/>
              </w:rPr>
              <m:t>latest</m:t>
            </m:r>
          </m:sub>
        </m:sSub>
        <m:r>
          <m:rPr>
            <m:sty m:val="bi"/>
          </m:rPr>
          <w:rPr>
            <w:rFonts w:ascii="Cambria Math" w:hAnsi="Cambria Math" w:cs="Calibri"/>
            <w:szCs w:val="22"/>
          </w:rPr>
          <m:t>/</m:t>
        </m:r>
        <m:sSub>
          <m:sSubPr>
            <m:ctrlPr>
              <w:rPr>
                <w:rFonts w:ascii="Cambria Math" w:hAnsi="Cambria Math" w:cs="Calibri"/>
                <w:bCs/>
                <w:szCs w:val="22"/>
              </w:rPr>
            </m:ctrlPr>
          </m:sSubPr>
          <m:e>
            <m:r>
              <m:rPr>
                <m:sty m:val="bi"/>
              </m:rPr>
              <w:rPr>
                <w:rFonts w:ascii="Cambria Math" w:hAnsi="Cambria Math" w:cs="Calibri"/>
                <w:szCs w:val="22"/>
              </w:rPr>
              <m:t>D</m:t>
            </m:r>
          </m:e>
          <m:sub>
            <m:r>
              <m:rPr>
                <m:sty m:val="bi"/>
              </m:rPr>
              <w:rPr>
                <w:rFonts w:ascii="Cambria Math" w:hAnsi="Cambria Math" w:cs="Calibri"/>
                <w:szCs w:val="22"/>
              </w:rPr>
              <m:t>MSY</m:t>
            </m:r>
          </m:sub>
        </m:sSub>
      </m:oMath>
      <w:r w:rsidRPr="008A5334">
        <w:rPr>
          <w:rFonts w:cs="Calibri"/>
          <w:bCs/>
          <w:szCs w:val="22"/>
        </w:rPr>
        <w:t xml:space="preserve"> ) and fishing mortality relative to MSY (</w:t>
      </w:r>
      <m:oMath>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latest</m:t>
            </m:r>
          </m:sub>
        </m:sSub>
        <m:r>
          <m:rPr>
            <m:sty m:val="bi"/>
          </m:rPr>
          <w:rPr>
            <w:rFonts w:ascii="Cambria Math" w:hAnsi="Cambria Math" w:cs="Calibri"/>
            <w:szCs w:val="22"/>
          </w:rPr>
          <m:t>/</m:t>
        </m:r>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Cs/>
          <w:szCs w:val="22"/>
        </w:rPr>
        <w:t xml:space="preserve"> ). Points represent model estimates colored by year (blue </w:t>
      </w:r>
      <w:r w:rsidRPr="008A5334">
        <w:rPr>
          <w:rFonts w:ascii="Cambria Math" w:hAnsi="Cambria Math" w:cs="Cambria Math"/>
          <w:bCs/>
          <w:szCs w:val="22"/>
        </w:rPr>
        <w:t>∼</w:t>
      </w:r>
      <w:r w:rsidRPr="008A5334">
        <w:rPr>
          <w:rFonts w:cs="Calibri"/>
          <w:bCs/>
          <w:szCs w:val="22"/>
        </w:rPr>
        <w:t xml:space="preserve"> 2020, green </w:t>
      </w:r>
      <w:r w:rsidRPr="008A5334">
        <w:rPr>
          <w:rFonts w:ascii="Cambria Math" w:hAnsi="Cambria Math" w:cs="Cambria Math"/>
          <w:bCs/>
          <w:szCs w:val="22"/>
        </w:rPr>
        <w:t>∼</w:t>
      </w:r>
      <w:r w:rsidRPr="008A5334">
        <w:rPr>
          <w:rFonts w:cs="Calibri"/>
          <w:bCs/>
          <w:szCs w:val="22"/>
        </w:rPr>
        <w:t xml:space="preserve"> 1985, orange </w:t>
      </w:r>
      <w:r w:rsidRPr="008A5334">
        <w:rPr>
          <w:rFonts w:ascii="Cambria Math" w:hAnsi="Cambria Math" w:cs="Cambria Math"/>
          <w:bCs/>
          <w:szCs w:val="22"/>
        </w:rPr>
        <w:t>∼</w:t>
      </w:r>
      <w:r w:rsidRPr="008A5334">
        <w:rPr>
          <w:rFonts w:cs="Calibri"/>
          <w:bCs/>
          <w:szCs w:val="22"/>
        </w:rPr>
        <w:t xml:space="preserve"> 1950), with </w:t>
      </w:r>
      <w:r>
        <w:rPr>
          <w:rFonts w:cs="Calibri"/>
          <w:bCs/>
          <w:szCs w:val="22"/>
        </w:rPr>
        <w:t xml:space="preserve">a </w:t>
      </w:r>
      <w:r w:rsidRPr="008A5334">
        <w:rPr>
          <w:rFonts w:cs="Calibri"/>
          <w:bCs/>
          <w:szCs w:val="22"/>
        </w:rPr>
        <w:t xml:space="preserve">connecting line showing the trajectory over time. The gray shaded contour is the bi-variate 95% credible distribution around the terminal year estimate </w:t>
      </w:r>
      <m:oMath>
        <m:sSub>
          <m:sSubPr>
            <m:ctrlPr>
              <w:rPr>
                <w:rFonts w:ascii="Cambria Math" w:hAnsi="Cambria Math" w:cs="Calibri"/>
                <w:bCs/>
                <w:szCs w:val="22"/>
              </w:rPr>
            </m:ctrlPr>
          </m:sSubPr>
          <m:e>
            <m:r>
              <m:rPr>
                <m:sty m:val="bi"/>
              </m:rPr>
              <w:rPr>
                <w:rFonts w:ascii="Cambria Math" w:hAnsi="Cambria Math" w:cs="Calibri"/>
                <w:szCs w:val="22"/>
              </w:rPr>
              <m:t>D</m:t>
            </m:r>
          </m:e>
          <m:sub>
            <m:r>
              <m:rPr>
                <m:sty m:val="bi"/>
              </m:rPr>
              <w:rPr>
                <w:rFonts w:ascii="Cambria Math" w:hAnsi="Cambria Math" w:cs="Calibri"/>
                <w:szCs w:val="22"/>
              </w:rPr>
              <m:t>2022</m:t>
            </m:r>
          </m:sub>
        </m:sSub>
        <m:r>
          <m:rPr>
            <m:sty m:val="bi"/>
          </m:rPr>
          <w:rPr>
            <w:rFonts w:ascii="Cambria Math" w:hAnsi="Cambria Math" w:cs="Calibri"/>
            <w:szCs w:val="22"/>
          </w:rPr>
          <m:t>/</m:t>
        </m:r>
        <m:sSub>
          <m:sSubPr>
            <m:ctrlPr>
              <w:rPr>
                <w:rFonts w:ascii="Cambria Math" w:hAnsi="Cambria Math" w:cs="Calibri"/>
                <w:bCs/>
                <w:szCs w:val="22"/>
              </w:rPr>
            </m:ctrlPr>
          </m:sSubPr>
          <m:e>
            <m:r>
              <m:rPr>
                <m:sty m:val="bi"/>
              </m:rPr>
              <w:rPr>
                <w:rFonts w:ascii="Cambria Math" w:hAnsi="Cambria Math" w:cs="Calibri"/>
                <w:szCs w:val="22"/>
              </w:rPr>
              <m:t>D</m:t>
            </m:r>
          </m:e>
          <m:sub>
            <m:r>
              <m:rPr>
                <m:sty m:val="bi"/>
              </m:rPr>
              <w:rPr>
                <w:rFonts w:ascii="Cambria Math" w:hAnsi="Cambria Math" w:cs="Calibri"/>
                <w:szCs w:val="22"/>
              </w:rPr>
              <m:t>MSY</m:t>
            </m:r>
          </m:sub>
        </m:sSub>
      </m:oMath>
      <w:r w:rsidRPr="008A5334">
        <w:rPr>
          <w:rFonts w:cs="Calibri"/>
          <w:bCs/>
          <w:szCs w:val="22"/>
        </w:rPr>
        <w:t xml:space="preserve"> and </w:t>
      </w:r>
      <m:oMath>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2021</m:t>
            </m:r>
          </m:sub>
        </m:sSub>
        <m:r>
          <m:rPr>
            <m:sty m:val="bi"/>
          </m:rPr>
          <w:rPr>
            <w:rFonts w:ascii="Cambria Math" w:hAnsi="Cambria Math" w:cs="Calibri"/>
            <w:szCs w:val="22"/>
          </w:rPr>
          <m:t>/</m:t>
        </m:r>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Cs/>
          <w:szCs w:val="22"/>
        </w:rPr>
        <w:t xml:space="preserve"> .</w:t>
      </w:r>
    </w:p>
    <w:p w14:paraId="0DBEBB30" w14:textId="77777777" w:rsidR="008B4B3C" w:rsidRPr="008A5334" w:rsidRDefault="008B4B3C" w:rsidP="008B4B3C">
      <w:pPr>
        <w:rPr>
          <w:rFonts w:eastAsiaTheme="minorEastAsia" w:cs="Calibri"/>
          <w:lang w:val="en-AU" w:eastAsia="ko-KR"/>
        </w:rPr>
      </w:pPr>
      <w:r w:rsidRPr="008A5334">
        <w:rPr>
          <w:rFonts w:cs="Calibri"/>
        </w:rPr>
        <w:br w:type="page"/>
      </w:r>
    </w:p>
    <w:p w14:paraId="691FC9CC" w14:textId="77777777" w:rsidR="008B4B3C" w:rsidRPr="008A5334" w:rsidRDefault="008B4B3C" w:rsidP="008B4B3C">
      <w:pPr>
        <w:pStyle w:val="SCtext"/>
        <w:ind w:left="0" w:firstLine="0"/>
        <w:rPr>
          <w:rFonts w:cs="Calibri"/>
        </w:rPr>
      </w:pPr>
    </w:p>
    <w:p w14:paraId="038D7B25" w14:textId="77777777" w:rsidR="008B4B3C" w:rsidRPr="008A5334" w:rsidRDefault="008B4B3C" w:rsidP="008B4B3C">
      <w:pPr>
        <w:pStyle w:val="ListParagraph"/>
        <w:widowControl w:val="0"/>
        <w:numPr>
          <w:ilvl w:val="0"/>
          <w:numId w:val="38"/>
        </w:numPr>
        <w:kinsoku w:val="0"/>
        <w:overflowPunct w:val="0"/>
        <w:autoSpaceDE w:val="0"/>
        <w:autoSpaceDN w:val="0"/>
        <w:adjustRightInd w:val="0"/>
        <w:snapToGrid w:val="0"/>
        <w:ind w:left="0" w:firstLine="0"/>
        <w:contextualSpacing w:val="0"/>
        <w:rPr>
          <w:rFonts w:eastAsia="Batang" w:cs="Calibri"/>
          <w:b/>
          <w:lang w:eastAsia="ko-KR"/>
        </w:rPr>
      </w:pPr>
      <w:r w:rsidRPr="008A5334">
        <w:rPr>
          <w:rFonts w:cs="Calibri"/>
          <w:b/>
        </w:rPr>
        <w:t>Management advice</w:t>
      </w:r>
    </w:p>
    <w:p w14:paraId="65B9DA5C" w14:textId="77777777" w:rsidR="008B4B3C" w:rsidRPr="008A5334" w:rsidRDefault="008B4B3C" w:rsidP="008B4B3C">
      <w:pPr>
        <w:pStyle w:val="ListParagraph"/>
        <w:widowControl w:val="0"/>
        <w:kinsoku w:val="0"/>
        <w:overflowPunct w:val="0"/>
        <w:autoSpaceDE w:val="0"/>
        <w:autoSpaceDN w:val="0"/>
        <w:adjustRightInd w:val="0"/>
        <w:snapToGrid w:val="0"/>
        <w:rPr>
          <w:rFonts w:eastAsia="Batang" w:cs="Calibri"/>
          <w:b/>
          <w:bCs/>
          <w:lang w:eastAsia="ko-KR"/>
        </w:rPr>
      </w:pPr>
    </w:p>
    <w:p w14:paraId="25FAE3CD"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cs="Calibri"/>
        </w:rPr>
        <w:t>Ten-year stochastic projections (</w:t>
      </w:r>
      <w:r w:rsidRPr="008A5334">
        <w:rPr>
          <w:rFonts w:cs="Calibri"/>
          <w:b/>
          <w:bCs/>
        </w:rPr>
        <w:fldChar w:fldCharType="begin"/>
      </w:r>
      <w:r w:rsidRPr="008A5334">
        <w:rPr>
          <w:rFonts w:cs="Calibri"/>
          <w:b/>
          <w:bCs/>
        </w:rPr>
        <w:instrText xml:space="preserve"> REF _Ref206231809 \h  \* MERGEFORMAT </w:instrText>
      </w:r>
      <w:r w:rsidRPr="008A5334">
        <w:rPr>
          <w:rFonts w:cs="Calibri"/>
          <w:b/>
          <w:bCs/>
        </w:rPr>
      </w:r>
      <w:r w:rsidRPr="008A5334">
        <w:rPr>
          <w:rFonts w:cs="Calibri"/>
          <w:b/>
          <w:bCs/>
        </w:rPr>
        <w:fldChar w:fldCharType="separate"/>
      </w:r>
      <w:r w:rsidRPr="006E786C">
        <w:rPr>
          <w:rFonts w:cs="Calibri"/>
          <w:b/>
          <w:bCs/>
        </w:rPr>
        <w:t>Figure MLS-07</w:t>
      </w:r>
      <w:r w:rsidRPr="008A5334">
        <w:rPr>
          <w:rFonts w:cs="Calibri"/>
          <w:b/>
          <w:bCs/>
        </w:rPr>
        <w:fldChar w:fldCharType="end"/>
      </w:r>
      <w:r w:rsidRPr="008A5334">
        <w:rPr>
          <w:rFonts w:cs="Calibri"/>
        </w:rPr>
        <w:t>)</w:t>
      </w:r>
      <w:r>
        <w:rPr>
          <w:rFonts w:cs="Calibri"/>
        </w:rPr>
        <w:t>,</w:t>
      </w:r>
      <w:r w:rsidRPr="008A5334">
        <w:rPr>
          <w:rFonts w:cs="Calibri"/>
        </w:rPr>
        <w:t xml:space="preserve"> assuming recent average catch levels (2018-2022)</w:t>
      </w:r>
      <w:r>
        <w:rPr>
          <w:rFonts w:cs="Calibri"/>
        </w:rPr>
        <w:t>,</w:t>
      </w:r>
      <w:r w:rsidRPr="008A5334">
        <w:rPr>
          <w:rFonts w:cs="Calibri"/>
        </w:rPr>
        <w:t xml:space="preserve"> indicated continued population recovery through 2032, with </w:t>
      </w:r>
      <w:r>
        <w:rPr>
          <w:rFonts w:cs="Calibri"/>
        </w:rPr>
        <w:t xml:space="preserve">a </w:t>
      </w:r>
      <w:r w:rsidRPr="008A5334">
        <w:rPr>
          <w:rFonts w:cs="Calibri"/>
        </w:rPr>
        <w:t xml:space="preserve">median </w:t>
      </w:r>
      <m:oMath>
        <m:r>
          <w:rPr>
            <w:rFonts w:ascii="Cambria Math" w:hAnsi="Cambria Math" w:cs="Calibri"/>
          </w:rPr>
          <m:t>D/</m:t>
        </m:r>
        <m:sSub>
          <m:sSubPr>
            <m:ctrlPr>
              <w:rPr>
                <w:rFonts w:ascii="Cambria Math" w:hAnsi="Cambria Math" w:cs="Calibri"/>
                <w:i/>
              </w:rPr>
            </m:ctrlPr>
          </m:sSubPr>
          <m:e>
            <m:r>
              <w:rPr>
                <w:rFonts w:ascii="Cambria Math" w:hAnsi="Cambria Math" w:cs="Calibri"/>
              </w:rPr>
              <m:t>D</m:t>
            </m:r>
          </m:e>
          <m:sub>
            <m:r>
              <w:rPr>
                <w:rFonts w:ascii="Cambria Math" w:hAnsi="Cambria Math" w:cs="Calibri"/>
              </w:rPr>
              <m:t>MSY</m:t>
            </m:r>
          </m:sub>
        </m:sSub>
      </m:oMath>
      <w:r w:rsidRPr="008A5334">
        <w:rPr>
          <w:rFonts w:cs="Calibri"/>
        </w:rPr>
        <w:t xml:space="preserve"> projected to reach 1.32 by 2032 and only a 26% chance of remaining overfished. Projections to 2025 showed </w:t>
      </w:r>
      <w:r>
        <w:rPr>
          <w:rFonts w:cs="Calibri"/>
        </w:rPr>
        <w:t xml:space="preserve">a </w:t>
      </w:r>
      <w:r w:rsidRPr="008A5334">
        <w:rPr>
          <w:rFonts w:cs="Calibri"/>
        </w:rPr>
        <w:t xml:space="preserve">median </w:t>
      </w:r>
      <m:oMath>
        <m:r>
          <w:rPr>
            <w:rFonts w:ascii="Cambria Math" w:hAnsi="Cambria Math" w:cs="Calibri"/>
          </w:rPr>
          <m:t>D/</m:t>
        </m:r>
        <m:sSub>
          <m:sSubPr>
            <m:ctrlPr>
              <w:rPr>
                <w:rFonts w:ascii="Cambria Math" w:hAnsi="Cambria Math" w:cs="Calibri"/>
                <w:i/>
              </w:rPr>
            </m:ctrlPr>
          </m:sSubPr>
          <m:e>
            <m:r>
              <w:rPr>
                <w:rFonts w:ascii="Cambria Math" w:hAnsi="Cambria Math" w:cs="Calibri"/>
              </w:rPr>
              <m:t>D</m:t>
            </m:r>
          </m:e>
          <m:sub>
            <m:r>
              <w:rPr>
                <w:rFonts w:ascii="Cambria Math" w:hAnsi="Cambria Math" w:cs="Calibri"/>
              </w:rPr>
              <m:t>MSY</m:t>
            </m:r>
          </m:sub>
        </m:sSub>
      </m:oMath>
      <w:r w:rsidRPr="008A5334">
        <w:rPr>
          <w:rFonts w:cs="Calibri"/>
        </w:rPr>
        <w:t xml:space="preserve"> of 0.99 with only a 51% chance of being overfished, improving to less than 50% probability by 2026. Fishing mortality was projected to continue declining through the projection period, with </w:t>
      </w:r>
      <w:r>
        <w:rPr>
          <w:rFonts w:cs="Calibri"/>
        </w:rPr>
        <w:t xml:space="preserve">a </w:t>
      </w:r>
      <w:r w:rsidRPr="008A5334">
        <w:rPr>
          <w:rFonts w:cs="Calibri"/>
        </w:rPr>
        <w:t xml:space="preserve">median </w:t>
      </w:r>
      <m:oMath>
        <m:r>
          <w:rPr>
            <w:rFonts w:ascii="Cambria Math" w:hAnsi="Cambria Math" w:cs="Calibri"/>
          </w:rPr>
          <m:t>F/</m:t>
        </m:r>
        <m:sSub>
          <m:sSubPr>
            <m:ctrlPr>
              <w:rPr>
                <w:rFonts w:ascii="Cambria Math" w:hAnsi="Cambria Math" w:cs="Calibri"/>
                <w:i/>
              </w:rPr>
            </m:ctrlPr>
          </m:sSubPr>
          <m:e>
            <m:r>
              <w:rPr>
                <w:rFonts w:ascii="Cambria Math" w:hAnsi="Cambria Math" w:cs="Calibri"/>
              </w:rPr>
              <m:t>F</m:t>
            </m:r>
          </m:e>
          <m:sub>
            <m:r>
              <w:rPr>
                <w:rFonts w:ascii="Cambria Math" w:hAnsi="Cambria Math" w:cs="Calibri"/>
              </w:rPr>
              <m:t>MSY</m:t>
            </m:r>
          </m:sub>
        </m:sSub>
        <m:r>
          <w:rPr>
            <w:rFonts w:ascii="Cambria Math" w:hAnsi="Cambria Math" w:cs="Calibri"/>
          </w:rPr>
          <m:t xml:space="preserve"> </m:t>
        </m:r>
      </m:oMath>
      <w:r w:rsidRPr="008A5334">
        <w:rPr>
          <w:rFonts w:eastAsia="Times New Roman" w:cs="Calibri"/>
        </w:rPr>
        <w:t xml:space="preserve"> </w:t>
      </w:r>
      <w:r w:rsidRPr="008A5334">
        <w:rPr>
          <w:rFonts w:cs="Calibri"/>
        </w:rPr>
        <w:t xml:space="preserve">reaching 0.49 by 2032 and only a 15% chance of overfishing occurring. While continued recovery was expected under status quo catch scenarios, the substantial uncertainty in model inputs was carried forward into projections, and, for example, there remained a very unlikely risk (5%) of the stock declining to less than 5% depletion under recent average catch levels by 2032. This risk would be expected to increase if catches rose above recent average levels. </w:t>
      </w:r>
    </w:p>
    <w:p w14:paraId="2501E3ED" w14:textId="77777777" w:rsidR="008B4B3C" w:rsidRPr="008A5334" w:rsidRDefault="008B4B3C" w:rsidP="008B4B3C">
      <w:pPr>
        <w:pStyle w:val="SCtext"/>
        <w:ind w:left="0" w:firstLine="0"/>
        <w:rPr>
          <w:rFonts w:cs="Calibri"/>
        </w:rPr>
      </w:pPr>
    </w:p>
    <w:p w14:paraId="5491B444" w14:textId="77777777" w:rsidR="008B4B3C" w:rsidRPr="008A5334" w:rsidRDefault="008B4B3C" w:rsidP="008B4B3C">
      <w:pPr>
        <w:pStyle w:val="SCtext"/>
        <w:widowControl w:val="0"/>
        <w:numPr>
          <w:ilvl w:val="0"/>
          <w:numId w:val="2"/>
        </w:numPr>
        <w:kinsoku w:val="0"/>
        <w:overflowPunct w:val="0"/>
        <w:ind w:left="0" w:firstLine="0"/>
        <w:rPr>
          <w:rFonts w:cs="Calibri"/>
          <w:b/>
          <w:bCs/>
        </w:rPr>
      </w:pPr>
      <w:r w:rsidRPr="008A5334">
        <w:rPr>
          <w:rFonts w:eastAsia="Calibri" w:cs="Calibri"/>
          <w:b/>
          <w:bCs/>
        </w:rPr>
        <w:t>SC21 noted that under projections using recent average catch, the stock had a 55% probability of recovering to greater than MSY levels by 2026 (Table MLS-04</w:t>
      </w:r>
      <w:proofErr w:type="gramStart"/>
      <w:r w:rsidRPr="008A5334">
        <w:rPr>
          <w:rFonts w:eastAsia="Calibri" w:cs="Calibri"/>
          <w:b/>
          <w:bCs/>
        </w:rPr>
        <w:t>), and</w:t>
      </w:r>
      <w:proofErr w:type="gramEnd"/>
      <w:r w:rsidRPr="008A5334">
        <w:rPr>
          <w:rFonts w:eastAsia="Calibri" w:cs="Calibri"/>
          <w:b/>
          <w:bCs/>
        </w:rPr>
        <w:t xml:space="preserve"> recommended not increasing catch above recent average levels. </w:t>
      </w:r>
    </w:p>
    <w:p w14:paraId="74BD853E" w14:textId="77777777" w:rsidR="008B4B3C" w:rsidRPr="008A5334" w:rsidRDefault="008B4B3C" w:rsidP="008B4B3C">
      <w:pPr>
        <w:pStyle w:val="SCtext"/>
        <w:ind w:left="0" w:firstLine="0"/>
        <w:rPr>
          <w:rFonts w:cs="Calibri"/>
        </w:rPr>
      </w:pPr>
    </w:p>
    <w:p w14:paraId="25AD94FC" w14:textId="77777777" w:rsidR="008B4B3C" w:rsidRPr="00942C6D" w:rsidRDefault="008B4B3C" w:rsidP="008B4B3C">
      <w:pPr>
        <w:pStyle w:val="SCtext"/>
        <w:widowControl w:val="0"/>
        <w:numPr>
          <w:ilvl w:val="0"/>
          <w:numId w:val="2"/>
        </w:numPr>
        <w:kinsoku w:val="0"/>
        <w:overflowPunct w:val="0"/>
        <w:ind w:left="0" w:firstLine="0"/>
        <w:rPr>
          <w:rFonts w:cs="Calibri"/>
          <w:b/>
          <w:bCs/>
        </w:rPr>
      </w:pPr>
      <w:r w:rsidRPr="00942C6D">
        <w:rPr>
          <w:rFonts w:eastAsia="Calibri" w:cs="Calibri"/>
          <w:b/>
          <w:bCs/>
        </w:rPr>
        <w:t xml:space="preserve">SC21 also agreed that the projections requested in SC20 were likely not necessary based upon the results provided (Agenda item 5.3). </w:t>
      </w:r>
    </w:p>
    <w:p w14:paraId="0F394BF6" w14:textId="77777777" w:rsidR="008B4B3C" w:rsidRPr="008A5334" w:rsidRDefault="008B4B3C" w:rsidP="008B4B3C">
      <w:pPr>
        <w:pStyle w:val="SCtext"/>
        <w:ind w:left="0" w:firstLine="0"/>
        <w:rPr>
          <w:rFonts w:cs="Calibri"/>
        </w:rPr>
      </w:pPr>
    </w:p>
    <w:p w14:paraId="2423C9A0" w14:textId="77777777" w:rsidR="008B4B3C" w:rsidRPr="008A5334" w:rsidRDefault="008B4B3C" w:rsidP="008B4B3C">
      <w:pPr>
        <w:pStyle w:val="SCtext"/>
        <w:widowControl w:val="0"/>
        <w:numPr>
          <w:ilvl w:val="0"/>
          <w:numId w:val="2"/>
        </w:numPr>
        <w:kinsoku w:val="0"/>
        <w:overflowPunct w:val="0"/>
        <w:ind w:left="0" w:firstLine="0"/>
        <w:rPr>
          <w:rFonts w:cs="Calibri"/>
        </w:rPr>
      </w:pPr>
      <w:r w:rsidRPr="008A5334">
        <w:rPr>
          <w:rFonts w:eastAsia="Calibri" w:cs="Calibri"/>
        </w:rPr>
        <w:t xml:space="preserve">SC21 noted </w:t>
      </w:r>
      <w:r>
        <w:rPr>
          <w:rFonts w:eastAsia="Calibri" w:cs="Calibri"/>
        </w:rPr>
        <w:t xml:space="preserve">that the </w:t>
      </w:r>
      <w:r w:rsidRPr="008A5334">
        <w:rPr>
          <w:rFonts w:eastAsia="Calibri" w:cs="Calibri"/>
        </w:rPr>
        <w:t xml:space="preserve">current BSPM may not reflect population dynamics associated with the changing population age </w:t>
      </w:r>
      <w:proofErr w:type="gramStart"/>
      <w:r w:rsidRPr="008A5334">
        <w:rPr>
          <w:rFonts w:eastAsia="Calibri" w:cs="Calibri"/>
        </w:rPr>
        <w:t>structure, and</w:t>
      </w:r>
      <w:proofErr w:type="gramEnd"/>
      <w:r w:rsidRPr="008A5334">
        <w:rPr>
          <w:rFonts w:eastAsia="Calibri" w:cs="Calibri"/>
        </w:rPr>
        <w:t xml:space="preserve"> encouraged the SSP to include non-stationary population processes in model parameters to improve understanding </w:t>
      </w:r>
      <w:r>
        <w:rPr>
          <w:rFonts w:eastAsia="Calibri" w:cs="Calibri"/>
        </w:rPr>
        <w:t>of</w:t>
      </w:r>
      <w:r w:rsidRPr="008A5334">
        <w:rPr>
          <w:rFonts w:eastAsia="Calibri" w:cs="Calibri"/>
        </w:rPr>
        <w:t xml:space="preserve"> the population dynamics in future assessments. </w:t>
      </w:r>
    </w:p>
    <w:p w14:paraId="0BFACDE1" w14:textId="77777777" w:rsidR="008B4B3C" w:rsidRPr="008A5334" w:rsidRDefault="008B4B3C" w:rsidP="008B4B3C">
      <w:pPr>
        <w:pStyle w:val="SCtext"/>
        <w:ind w:left="0" w:firstLine="0"/>
        <w:rPr>
          <w:rFonts w:cs="Calibri"/>
        </w:rPr>
      </w:pPr>
    </w:p>
    <w:p w14:paraId="2FB8E08B" w14:textId="77777777" w:rsidR="008B4B3C" w:rsidRPr="008A5334" w:rsidRDefault="008B4B3C" w:rsidP="008B4B3C">
      <w:pPr>
        <w:pStyle w:val="ListParagraph"/>
        <w:widowControl w:val="0"/>
        <w:kinsoku w:val="0"/>
        <w:overflowPunct w:val="0"/>
        <w:autoSpaceDE w:val="0"/>
        <w:autoSpaceDN w:val="0"/>
        <w:adjustRightInd w:val="0"/>
        <w:snapToGrid w:val="0"/>
        <w:rPr>
          <w:rFonts w:eastAsia="Batang" w:cs="Calibri"/>
          <w:b/>
          <w:bCs/>
          <w:lang w:eastAsia="ko-KR"/>
        </w:rPr>
      </w:pPr>
    </w:p>
    <w:p w14:paraId="628B09FD" w14:textId="77777777" w:rsidR="008B4B3C" w:rsidRPr="008A5334" w:rsidRDefault="008B4B3C" w:rsidP="008B4B3C">
      <w:pPr>
        <w:ind w:right="90"/>
        <w:jc w:val="both"/>
        <w:rPr>
          <w:rFonts w:cs="Calibri"/>
        </w:rPr>
      </w:pPr>
      <w:r w:rsidRPr="008A5334">
        <w:rPr>
          <w:rFonts w:cs="Calibri"/>
          <w:b/>
          <w:bCs/>
        </w:rPr>
        <w:t>Table MLS-04.</w:t>
      </w:r>
      <w:r w:rsidRPr="008A5334">
        <w:rPr>
          <w:rFonts w:cs="Calibri"/>
        </w:rPr>
        <w:t xml:space="preserve"> Table of the probability of Southwest Pacific striped marlin reaching D</w:t>
      </w:r>
      <w:r w:rsidRPr="008A5334">
        <w:rPr>
          <w:rFonts w:cs="Calibri"/>
          <w:vertAlign w:val="subscript"/>
        </w:rPr>
        <w:t xml:space="preserve">MSY </w:t>
      </w:r>
      <w:r w:rsidRPr="008A5334">
        <w:rPr>
          <w:rFonts w:cs="Calibri"/>
        </w:rPr>
        <w:t>from status quo projections.</w:t>
      </w:r>
    </w:p>
    <w:tbl>
      <w:tblPr>
        <w:tblStyle w:val="TableGrid0"/>
        <w:tblW w:w="2321" w:type="dxa"/>
        <w:jc w:val="center"/>
        <w:tblInd w:w="0" w:type="dxa"/>
        <w:tblLook w:val="04A0" w:firstRow="1" w:lastRow="0" w:firstColumn="1" w:lastColumn="0" w:noHBand="0" w:noVBand="1"/>
      </w:tblPr>
      <w:tblGrid>
        <w:gridCol w:w="895"/>
        <w:gridCol w:w="1426"/>
      </w:tblGrid>
      <w:tr w:rsidR="008B4B3C" w:rsidRPr="008A5334" w14:paraId="7FAF8784" w14:textId="77777777" w:rsidTr="00BF2179">
        <w:trPr>
          <w:trHeight w:val="309"/>
          <w:jc w:val="center"/>
        </w:trPr>
        <w:tc>
          <w:tcPr>
            <w:tcW w:w="895" w:type="dxa"/>
            <w:tcBorders>
              <w:top w:val="single" w:sz="4" w:space="0" w:color="auto"/>
              <w:bottom w:val="single" w:sz="4" w:space="0" w:color="auto"/>
            </w:tcBorders>
            <w:shd w:val="clear" w:color="auto" w:fill="D9D9D9" w:themeFill="background1" w:themeFillShade="D9"/>
          </w:tcPr>
          <w:p w14:paraId="0B0B126B" w14:textId="77777777" w:rsidR="008B4B3C" w:rsidRPr="008A5334" w:rsidRDefault="008B4B3C" w:rsidP="00BF2179">
            <w:pPr>
              <w:rPr>
                <w:rFonts w:cs="Calibri"/>
              </w:rPr>
            </w:pPr>
            <w:r w:rsidRPr="008A5334">
              <w:rPr>
                <w:rFonts w:cs="Calibri"/>
              </w:rPr>
              <w:t>Year</w:t>
            </w:r>
          </w:p>
        </w:tc>
        <w:tc>
          <w:tcPr>
            <w:tcW w:w="1426" w:type="dxa"/>
            <w:tcBorders>
              <w:top w:val="single" w:sz="4" w:space="0" w:color="auto"/>
              <w:bottom w:val="single" w:sz="4" w:space="0" w:color="auto"/>
            </w:tcBorders>
            <w:shd w:val="clear" w:color="auto" w:fill="D9D9D9" w:themeFill="background1" w:themeFillShade="D9"/>
          </w:tcPr>
          <w:p w14:paraId="42CE4EBD" w14:textId="77777777" w:rsidR="008B4B3C" w:rsidRPr="008A5334" w:rsidRDefault="008B4B3C" w:rsidP="00BF2179">
            <w:pPr>
              <w:rPr>
                <w:rFonts w:cs="Calibri"/>
              </w:rPr>
            </w:pPr>
            <w:r w:rsidRPr="008A5334">
              <w:rPr>
                <w:rFonts w:cs="Calibri"/>
              </w:rPr>
              <w:t>Probability</w:t>
            </w:r>
          </w:p>
        </w:tc>
      </w:tr>
      <w:tr w:rsidR="008B4B3C" w:rsidRPr="008A5334" w14:paraId="5F0AA58E" w14:textId="77777777" w:rsidTr="00BF2179">
        <w:trPr>
          <w:trHeight w:val="302"/>
          <w:jc w:val="center"/>
        </w:trPr>
        <w:tc>
          <w:tcPr>
            <w:tcW w:w="895" w:type="dxa"/>
            <w:tcBorders>
              <w:top w:val="single" w:sz="4" w:space="0" w:color="auto"/>
            </w:tcBorders>
          </w:tcPr>
          <w:p w14:paraId="0BEED183" w14:textId="77777777" w:rsidR="008B4B3C" w:rsidRPr="008A5334" w:rsidRDefault="008B4B3C" w:rsidP="00BF2179">
            <w:pPr>
              <w:rPr>
                <w:rFonts w:cs="Calibri"/>
              </w:rPr>
            </w:pPr>
            <w:r w:rsidRPr="008A5334">
              <w:rPr>
                <w:rFonts w:cs="Calibri"/>
              </w:rPr>
              <w:t>2023</w:t>
            </w:r>
          </w:p>
        </w:tc>
        <w:tc>
          <w:tcPr>
            <w:tcW w:w="1426" w:type="dxa"/>
            <w:tcBorders>
              <w:top w:val="single" w:sz="4" w:space="0" w:color="auto"/>
            </w:tcBorders>
          </w:tcPr>
          <w:p w14:paraId="63E83A1F" w14:textId="77777777" w:rsidR="008B4B3C" w:rsidRPr="008A5334" w:rsidRDefault="008B4B3C" w:rsidP="00BF2179">
            <w:pPr>
              <w:jc w:val="center"/>
              <w:rPr>
                <w:rFonts w:cs="Calibri"/>
              </w:rPr>
            </w:pPr>
            <w:r w:rsidRPr="008A5334">
              <w:rPr>
                <w:rFonts w:cs="Calibri"/>
              </w:rPr>
              <w:t>38%</w:t>
            </w:r>
          </w:p>
        </w:tc>
      </w:tr>
      <w:tr w:rsidR="008B4B3C" w:rsidRPr="008A5334" w14:paraId="478DE877" w14:textId="77777777" w:rsidTr="00BF2179">
        <w:trPr>
          <w:trHeight w:val="309"/>
          <w:jc w:val="center"/>
        </w:trPr>
        <w:tc>
          <w:tcPr>
            <w:tcW w:w="895" w:type="dxa"/>
          </w:tcPr>
          <w:p w14:paraId="367E20D0" w14:textId="77777777" w:rsidR="008B4B3C" w:rsidRPr="008A5334" w:rsidRDefault="008B4B3C" w:rsidP="00BF2179">
            <w:pPr>
              <w:rPr>
                <w:rFonts w:cs="Calibri"/>
              </w:rPr>
            </w:pPr>
            <w:r w:rsidRPr="008A5334">
              <w:rPr>
                <w:rFonts w:cs="Calibri"/>
              </w:rPr>
              <w:t>2024</w:t>
            </w:r>
          </w:p>
        </w:tc>
        <w:tc>
          <w:tcPr>
            <w:tcW w:w="1426" w:type="dxa"/>
          </w:tcPr>
          <w:p w14:paraId="1FBD9871" w14:textId="77777777" w:rsidR="008B4B3C" w:rsidRPr="008A5334" w:rsidRDefault="008B4B3C" w:rsidP="00BF2179">
            <w:pPr>
              <w:jc w:val="center"/>
              <w:rPr>
                <w:rFonts w:cs="Calibri"/>
              </w:rPr>
            </w:pPr>
            <w:r w:rsidRPr="008A5334">
              <w:rPr>
                <w:rFonts w:cs="Calibri"/>
              </w:rPr>
              <w:t>44%</w:t>
            </w:r>
          </w:p>
        </w:tc>
      </w:tr>
      <w:tr w:rsidR="008B4B3C" w:rsidRPr="008A5334" w14:paraId="65633DF3" w14:textId="77777777" w:rsidTr="00BF2179">
        <w:trPr>
          <w:trHeight w:val="309"/>
          <w:jc w:val="center"/>
        </w:trPr>
        <w:tc>
          <w:tcPr>
            <w:tcW w:w="895" w:type="dxa"/>
          </w:tcPr>
          <w:p w14:paraId="2A1BE6A9" w14:textId="77777777" w:rsidR="008B4B3C" w:rsidRPr="008A5334" w:rsidRDefault="008B4B3C" w:rsidP="00BF2179">
            <w:pPr>
              <w:rPr>
                <w:rFonts w:cs="Calibri"/>
              </w:rPr>
            </w:pPr>
            <w:r w:rsidRPr="008A5334">
              <w:rPr>
                <w:rFonts w:cs="Calibri"/>
              </w:rPr>
              <w:t>2025</w:t>
            </w:r>
          </w:p>
        </w:tc>
        <w:tc>
          <w:tcPr>
            <w:tcW w:w="1426" w:type="dxa"/>
          </w:tcPr>
          <w:p w14:paraId="0B6CBB89" w14:textId="77777777" w:rsidR="008B4B3C" w:rsidRPr="008A5334" w:rsidRDefault="008B4B3C" w:rsidP="00BF2179">
            <w:pPr>
              <w:jc w:val="center"/>
              <w:rPr>
                <w:rFonts w:cs="Calibri"/>
              </w:rPr>
            </w:pPr>
            <w:r w:rsidRPr="008A5334">
              <w:rPr>
                <w:rFonts w:cs="Calibri"/>
              </w:rPr>
              <w:t>49%</w:t>
            </w:r>
          </w:p>
        </w:tc>
      </w:tr>
      <w:tr w:rsidR="008B4B3C" w:rsidRPr="008A5334" w14:paraId="7371AC28" w14:textId="77777777" w:rsidTr="00BF2179">
        <w:trPr>
          <w:trHeight w:val="309"/>
          <w:jc w:val="center"/>
        </w:trPr>
        <w:tc>
          <w:tcPr>
            <w:tcW w:w="895" w:type="dxa"/>
          </w:tcPr>
          <w:p w14:paraId="2B4C828C" w14:textId="77777777" w:rsidR="008B4B3C" w:rsidRPr="008A5334" w:rsidRDefault="008B4B3C" w:rsidP="00BF2179">
            <w:pPr>
              <w:rPr>
                <w:rFonts w:cs="Calibri"/>
              </w:rPr>
            </w:pPr>
            <w:r w:rsidRPr="008A5334">
              <w:rPr>
                <w:rFonts w:cs="Calibri"/>
              </w:rPr>
              <w:t>2026</w:t>
            </w:r>
          </w:p>
        </w:tc>
        <w:tc>
          <w:tcPr>
            <w:tcW w:w="1426" w:type="dxa"/>
          </w:tcPr>
          <w:p w14:paraId="31390496" w14:textId="77777777" w:rsidR="008B4B3C" w:rsidRPr="008A5334" w:rsidRDefault="008B4B3C" w:rsidP="00BF2179">
            <w:pPr>
              <w:jc w:val="center"/>
              <w:rPr>
                <w:rFonts w:cs="Calibri"/>
              </w:rPr>
            </w:pPr>
            <w:r w:rsidRPr="008A5334">
              <w:rPr>
                <w:rFonts w:cs="Calibri"/>
              </w:rPr>
              <w:t>55%</w:t>
            </w:r>
          </w:p>
        </w:tc>
      </w:tr>
      <w:tr w:rsidR="008B4B3C" w:rsidRPr="008A5334" w14:paraId="3DE780D6" w14:textId="77777777" w:rsidTr="00BF2179">
        <w:trPr>
          <w:trHeight w:val="302"/>
          <w:jc w:val="center"/>
        </w:trPr>
        <w:tc>
          <w:tcPr>
            <w:tcW w:w="895" w:type="dxa"/>
          </w:tcPr>
          <w:p w14:paraId="6AE6672D" w14:textId="77777777" w:rsidR="008B4B3C" w:rsidRPr="008A5334" w:rsidRDefault="008B4B3C" w:rsidP="00BF2179">
            <w:pPr>
              <w:rPr>
                <w:rFonts w:cs="Calibri"/>
              </w:rPr>
            </w:pPr>
            <w:r w:rsidRPr="008A5334">
              <w:rPr>
                <w:rFonts w:cs="Calibri"/>
              </w:rPr>
              <w:t>2027</w:t>
            </w:r>
          </w:p>
        </w:tc>
        <w:tc>
          <w:tcPr>
            <w:tcW w:w="1426" w:type="dxa"/>
          </w:tcPr>
          <w:p w14:paraId="241111E0" w14:textId="77777777" w:rsidR="008B4B3C" w:rsidRPr="008A5334" w:rsidRDefault="008B4B3C" w:rsidP="00BF2179">
            <w:pPr>
              <w:jc w:val="center"/>
              <w:rPr>
                <w:rFonts w:cs="Calibri"/>
              </w:rPr>
            </w:pPr>
            <w:r w:rsidRPr="008A5334">
              <w:rPr>
                <w:rFonts w:cs="Calibri"/>
              </w:rPr>
              <w:t>59%</w:t>
            </w:r>
          </w:p>
        </w:tc>
      </w:tr>
      <w:tr w:rsidR="008B4B3C" w:rsidRPr="008A5334" w14:paraId="7EF16D7C" w14:textId="77777777" w:rsidTr="00BF2179">
        <w:trPr>
          <w:trHeight w:val="309"/>
          <w:jc w:val="center"/>
        </w:trPr>
        <w:tc>
          <w:tcPr>
            <w:tcW w:w="895" w:type="dxa"/>
          </w:tcPr>
          <w:p w14:paraId="75467000" w14:textId="77777777" w:rsidR="008B4B3C" w:rsidRPr="008A5334" w:rsidRDefault="008B4B3C" w:rsidP="00BF2179">
            <w:pPr>
              <w:rPr>
                <w:rFonts w:cs="Calibri"/>
              </w:rPr>
            </w:pPr>
            <w:r w:rsidRPr="008A5334">
              <w:rPr>
                <w:rFonts w:cs="Calibri"/>
              </w:rPr>
              <w:t>2028</w:t>
            </w:r>
          </w:p>
        </w:tc>
        <w:tc>
          <w:tcPr>
            <w:tcW w:w="1426" w:type="dxa"/>
          </w:tcPr>
          <w:p w14:paraId="2A439D2C" w14:textId="77777777" w:rsidR="008B4B3C" w:rsidRPr="008A5334" w:rsidRDefault="008B4B3C" w:rsidP="00BF2179">
            <w:pPr>
              <w:jc w:val="center"/>
              <w:rPr>
                <w:rFonts w:cs="Calibri"/>
              </w:rPr>
            </w:pPr>
            <w:r w:rsidRPr="008A5334">
              <w:rPr>
                <w:rFonts w:cs="Calibri"/>
              </w:rPr>
              <w:t>62%</w:t>
            </w:r>
          </w:p>
        </w:tc>
      </w:tr>
      <w:tr w:rsidR="008B4B3C" w:rsidRPr="008A5334" w14:paraId="4DB2B5A1" w14:textId="77777777" w:rsidTr="00BF2179">
        <w:trPr>
          <w:trHeight w:val="309"/>
          <w:jc w:val="center"/>
        </w:trPr>
        <w:tc>
          <w:tcPr>
            <w:tcW w:w="895" w:type="dxa"/>
          </w:tcPr>
          <w:p w14:paraId="0F021959" w14:textId="77777777" w:rsidR="008B4B3C" w:rsidRPr="008A5334" w:rsidRDefault="008B4B3C" w:rsidP="00BF2179">
            <w:pPr>
              <w:rPr>
                <w:rFonts w:cs="Calibri"/>
              </w:rPr>
            </w:pPr>
            <w:r w:rsidRPr="008A5334">
              <w:rPr>
                <w:rFonts w:cs="Calibri"/>
              </w:rPr>
              <w:t>2029</w:t>
            </w:r>
          </w:p>
        </w:tc>
        <w:tc>
          <w:tcPr>
            <w:tcW w:w="1426" w:type="dxa"/>
          </w:tcPr>
          <w:p w14:paraId="5E932301" w14:textId="77777777" w:rsidR="008B4B3C" w:rsidRPr="008A5334" w:rsidRDefault="008B4B3C" w:rsidP="00BF2179">
            <w:pPr>
              <w:jc w:val="center"/>
              <w:rPr>
                <w:rFonts w:cs="Calibri"/>
              </w:rPr>
            </w:pPr>
            <w:r w:rsidRPr="008A5334">
              <w:rPr>
                <w:rFonts w:cs="Calibri"/>
              </w:rPr>
              <w:t>66%</w:t>
            </w:r>
          </w:p>
        </w:tc>
      </w:tr>
      <w:tr w:rsidR="008B4B3C" w:rsidRPr="008A5334" w14:paraId="2464DB5C" w14:textId="77777777" w:rsidTr="00BF2179">
        <w:trPr>
          <w:trHeight w:val="309"/>
          <w:jc w:val="center"/>
        </w:trPr>
        <w:tc>
          <w:tcPr>
            <w:tcW w:w="895" w:type="dxa"/>
          </w:tcPr>
          <w:p w14:paraId="5BEEBA47" w14:textId="77777777" w:rsidR="008B4B3C" w:rsidRPr="008A5334" w:rsidRDefault="008B4B3C" w:rsidP="00BF2179">
            <w:pPr>
              <w:rPr>
                <w:rFonts w:cs="Calibri"/>
              </w:rPr>
            </w:pPr>
            <w:r w:rsidRPr="008A5334">
              <w:rPr>
                <w:rFonts w:cs="Calibri"/>
              </w:rPr>
              <w:t>2030</w:t>
            </w:r>
          </w:p>
        </w:tc>
        <w:tc>
          <w:tcPr>
            <w:tcW w:w="1426" w:type="dxa"/>
          </w:tcPr>
          <w:p w14:paraId="706D18FF" w14:textId="77777777" w:rsidR="008B4B3C" w:rsidRPr="008A5334" w:rsidRDefault="008B4B3C" w:rsidP="00BF2179">
            <w:pPr>
              <w:jc w:val="center"/>
              <w:rPr>
                <w:rFonts w:cs="Calibri"/>
              </w:rPr>
            </w:pPr>
            <w:r w:rsidRPr="008A5334">
              <w:rPr>
                <w:rFonts w:cs="Calibri"/>
              </w:rPr>
              <w:t>69%</w:t>
            </w:r>
          </w:p>
        </w:tc>
      </w:tr>
      <w:tr w:rsidR="008B4B3C" w:rsidRPr="008A5334" w14:paraId="6AB7D2F8" w14:textId="77777777" w:rsidTr="00BF2179">
        <w:trPr>
          <w:trHeight w:val="302"/>
          <w:jc w:val="center"/>
        </w:trPr>
        <w:tc>
          <w:tcPr>
            <w:tcW w:w="895" w:type="dxa"/>
          </w:tcPr>
          <w:p w14:paraId="4C40217A" w14:textId="77777777" w:rsidR="008B4B3C" w:rsidRPr="008A5334" w:rsidRDefault="008B4B3C" w:rsidP="00BF2179">
            <w:pPr>
              <w:rPr>
                <w:rFonts w:cs="Calibri"/>
              </w:rPr>
            </w:pPr>
            <w:r w:rsidRPr="008A5334">
              <w:rPr>
                <w:rFonts w:cs="Calibri"/>
              </w:rPr>
              <w:t>2031</w:t>
            </w:r>
          </w:p>
        </w:tc>
        <w:tc>
          <w:tcPr>
            <w:tcW w:w="1426" w:type="dxa"/>
          </w:tcPr>
          <w:p w14:paraId="535122FB" w14:textId="77777777" w:rsidR="008B4B3C" w:rsidRPr="008A5334" w:rsidRDefault="008B4B3C" w:rsidP="00BF2179">
            <w:pPr>
              <w:jc w:val="center"/>
              <w:rPr>
                <w:rFonts w:cs="Calibri"/>
              </w:rPr>
            </w:pPr>
            <w:r w:rsidRPr="008A5334">
              <w:rPr>
                <w:rFonts w:cs="Calibri"/>
              </w:rPr>
              <w:t>71%</w:t>
            </w:r>
          </w:p>
        </w:tc>
      </w:tr>
      <w:tr w:rsidR="008B4B3C" w:rsidRPr="008A5334" w14:paraId="6CC325FD" w14:textId="77777777" w:rsidTr="00BF2179">
        <w:trPr>
          <w:trHeight w:val="309"/>
          <w:jc w:val="center"/>
        </w:trPr>
        <w:tc>
          <w:tcPr>
            <w:tcW w:w="895" w:type="dxa"/>
            <w:tcBorders>
              <w:bottom w:val="single" w:sz="4" w:space="0" w:color="auto"/>
            </w:tcBorders>
          </w:tcPr>
          <w:p w14:paraId="2925617E" w14:textId="77777777" w:rsidR="008B4B3C" w:rsidRPr="008A5334" w:rsidRDefault="008B4B3C" w:rsidP="00BF2179">
            <w:pPr>
              <w:rPr>
                <w:rFonts w:cs="Calibri"/>
              </w:rPr>
            </w:pPr>
            <w:r w:rsidRPr="008A5334">
              <w:rPr>
                <w:rFonts w:cs="Calibri"/>
              </w:rPr>
              <w:t>2032</w:t>
            </w:r>
          </w:p>
        </w:tc>
        <w:tc>
          <w:tcPr>
            <w:tcW w:w="1426" w:type="dxa"/>
            <w:tcBorders>
              <w:bottom w:val="single" w:sz="4" w:space="0" w:color="auto"/>
            </w:tcBorders>
          </w:tcPr>
          <w:p w14:paraId="1A19D9BF" w14:textId="77777777" w:rsidR="008B4B3C" w:rsidRPr="008A5334" w:rsidRDefault="008B4B3C" w:rsidP="00BF2179">
            <w:pPr>
              <w:jc w:val="center"/>
              <w:rPr>
                <w:rFonts w:cs="Calibri"/>
              </w:rPr>
            </w:pPr>
            <w:r w:rsidRPr="008A5334">
              <w:rPr>
                <w:rFonts w:cs="Calibri"/>
              </w:rPr>
              <w:t>74%</w:t>
            </w:r>
          </w:p>
        </w:tc>
      </w:tr>
    </w:tbl>
    <w:p w14:paraId="15953E31" w14:textId="77777777" w:rsidR="008B4B3C" w:rsidRPr="008A5334" w:rsidRDefault="008B4B3C" w:rsidP="008B4B3C">
      <w:pPr>
        <w:ind w:left="360"/>
        <w:rPr>
          <w:rFonts w:cs="Calibri"/>
        </w:rPr>
      </w:pPr>
    </w:p>
    <w:p w14:paraId="197FAB34" w14:textId="77777777" w:rsidR="008B4B3C" w:rsidRPr="008A5334" w:rsidRDefault="008B4B3C" w:rsidP="008B4B3C">
      <w:pPr>
        <w:keepNext/>
        <w:rPr>
          <w:rFonts w:cs="Calibri"/>
        </w:rPr>
      </w:pPr>
      <w:r w:rsidRPr="008A5334">
        <w:rPr>
          <w:rFonts w:eastAsia="Batang" w:cs="Calibri"/>
          <w:lang w:eastAsia="ko-KR"/>
        </w:rPr>
        <w:br w:type="page"/>
      </w:r>
      <w:r w:rsidRPr="008A5334">
        <w:rPr>
          <w:rFonts w:cs="Calibri"/>
          <w:noProof/>
        </w:rPr>
        <w:lastRenderedPageBreak/>
        <w:drawing>
          <wp:inline distT="0" distB="0" distL="0" distR="0" wp14:anchorId="49F731B5" wp14:editId="369B6177">
            <wp:extent cx="5943600" cy="2971800"/>
            <wp:effectExtent l="0" t="0" r="0" b="0"/>
            <wp:docPr id="7" name="Picture 7" descr="A graph of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different number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1D7B5B8" w14:textId="77777777" w:rsidR="008B4B3C" w:rsidRPr="008A5334" w:rsidRDefault="008B4B3C" w:rsidP="008B4B3C">
      <w:pPr>
        <w:pStyle w:val="Caption"/>
        <w:jc w:val="both"/>
        <w:rPr>
          <w:rFonts w:cs="Calibri"/>
          <w:b/>
          <w:bCs/>
          <w:szCs w:val="22"/>
        </w:rPr>
      </w:pPr>
      <w:bookmarkStart w:id="12" w:name="_Ref206231809"/>
      <w:r w:rsidRPr="008A5334">
        <w:rPr>
          <w:rFonts w:cs="Calibri"/>
          <w:bCs/>
          <w:szCs w:val="22"/>
        </w:rPr>
        <w:t>Figure MLS-0</w:t>
      </w:r>
      <w:r w:rsidRPr="008A5334">
        <w:rPr>
          <w:rFonts w:cs="Calibri"/>
          <w:b/>
          <w:bCs/>
          <w:szCs w:val="22"/>
        </w:rPr>
        <w:fldChar w:fldCharType="begin"/>
      </w:r>
      <w:r w:rsidRPr="008A5334">
        <w:rPr>
          <w:rFonts w:cs="Calibri"/>
          <w:bCs/>
          <w:szCs w:val="22"/>
        </w:rPr>
        <w:instrText xml:space="preserve"> SEQ Figure \* ARABIC </w:instrText>
      </w:r>
      <w:r w:rsidRPr="008A5334">
        <w:rPr>
          <w:rFonts w:cs="Calibri"/>
          <w:b/>
          <w:bCs/>
          <w:szCs w:val="22"/>
        </w:rPr>
        <w:fldChar w:fldCharType="separate"/>
      </w:r>
      <w:r>
        <w:rPr>
          <w:rFonts w:cs="Calibri"/>
          <w:bCs/>
          <w:noProof/>
          <w:szCs w:val="22"/>
        </w:rPr>
        <w:t>7</w:t>
      </w:r>
      <w:r w:rsidRPr="008A5334">
        <w:rPr>
          <w:rFonts w:cs="Calibri"/>
          <w:b/>
          <w:bCs/>
          <w:szCs w:val="22"/>
        </w:rPr>
        <w:fldChar w:fldCharType="end"/>
      </w:r>
      <w:bookmarkEnd w:id="12"/>
      <w:r w:rsidRPr="008A5334">
        <w:rPr>
          <w:rFonts w:cs="Calibri"/>
          <w:bCs/>
          <w:szCs w:val="22"/>
        </w:rPr>
        <w:t>.</w:t>
      </w:r>
      <w:r w:rsidRPr="008A5334">
        <w:rPr>
          <w:rFonts w:cs="Calibri"/>
          <w:szCs w:val="22"/>
        </w:rPr>
        <w:t xml:space="preserve"> </w:t>
      </w:r>
      <w:r w:rsidRPr="008A5334">
        <w:rPr>
          <w:rFonts w:cs="Calibri"/>
          <w:bCs/>
          <w:szCs w:val="22"/>
        </w:rPr>
        <w:t>Posterior time series distributions for key derived quantities over time during the forecast period 2023-2032 (line = median, shading = 90% credible interval): depletion (D), absolute population size in numbers (P), fishing mortality (F), stock status relative to MSY reference points (</w:t>
      </w:r>
      <m:oMath>
        <m:r>
          <m:rPr>
            <m:sty m:val="bi"/>
          </m:rPr>
          <w:rPr>
            <w:rFonts w:ascii="Cambria Math" w:hAnsi="Cambria Math" w:cs="Calibri"/>
            <w:szCs w:val="22"/>
          </w:rPr>
          <m:t>D/</m:t>
        </m:r>
        <m:sSub>
          <m:sSubPr>
            <m:ctrlPr>
              <w:rPr>
                <w:rFonts w:ascii="Cambria Math" w:hAnsi="Cambria Math" w:cs="Calibri"/>
                <w:bCs/>
                <w:szCs w:val="22"/>
              </w:rPr>
            </m:ctrlPr>
          </m:sSubPr>
          <m:e>
            <m:r>
              <m:rPr>
                <m:sty m:val="bi"/>
              </m:rPr>
              <w:rPr>
                <w:rFonts w:ascii="Cambria Math" w:hAnsi="Cambria Math" w:cs="Calibri"/>
                <w:szCs w:val="22"/>
              </w:rPr>
              <m:t>D</m:t>
            </m:r>
          </m:e>
          <m:sub>
            <m:r>
              <m:rPr>
                <m:sty m:val="bi"/>
              </m:rPr>
              <w:rPr>
                <w:rFonts w:ascii="Cambria Math" w:hAnsi="Cambria Math" w:cs="Calibri"/>
                <w:szCs w:val="22"/>
              </w:rPr>
              <m:t>MSY</m:t>
            </m:r>
          </m:sub>
        </m:sSub>
      </m:oMath>
      <w:r w:rsidRPr="008A5334">
        <w:rPr>
          <w:rFonts w:cs="Calibri"/>
          <w:bCs/>
          <w:szCs w:val="22"/>
        </w:rPr>
        <w:t xml:space="preserve"> , </w:t>
      </w:r>
      <m:oMath>
        <m:r>
          <m:rPr>
            <m:sty m:val="bi"/>
          </m:rPr>
          <w:rPr>
            <w:rFonts w:ascii="Cambria Math" w:hAnsi="Cambria Math" w:cs="Calibri"/>
            <w:szCs w:val="22"/>
          </w:rPr>
          <m:t>F/</m:t>
        </m:r>
        <m:sSub>
          <m:sSubPr>
            <m:ctrlPr>
              <w:rPr>
                <w:rFonts w:ascii="Cambria Math" w:hAnsi="Cambria Math" w:cs="Calibri"/>
                <w:bCs/>
                <w:szCs w:val="22"/>
              </w:rPr>
            </m:ctrlPr>
          </m:sSubPr>
          <m:e>
            <m:r>
              <m:rPr>
                <m:sty m:val="bi"/>
              </m:rPr>
              <w:rPr>
                <w:rFonts w:ascii="Cambria Math" w:hAnsi="Cambria Math" w:cs="Calibri"/>
                <w:szCs w:val="22"/>
              </w:rPr>
              <m:t>F</m:t>
            </m:r>
          </m:e>
          <m:sub>
            <m:r>
              <m:rPr>
                <m:sty m:val="bi"/>
              </m:rPr>
              <w:rPr>
                <w:rFonts w:ascii="Cambria Math" w:hAnsi="Cambria Math" w:cs="Calibri"/>
                <w:szCs w:val="22"/>
              </w:rPr>
              <m:t>MSY</m:t>
            </m:r>
          </m:sub>
        </m:sSub>
      </m:oMath>
      <w:r w:rsidRPr="008A5334">
        <w:rPr>
          <w:rFonts w:cs="Calibri"/>
          <w:bCs/>
          <w:szCs w:val="22"/>
        </w:rPr>
        <w:t>), total removals in numbers, and process error. The model ensemble is shown in orange. A 90% credible interval is shown to restrict the y-axis of the fishing mortality F panel</w:t>
      </w:r>
      <w:r>
        <w:rPr>
          <w:rFonts w:cs="Calibri"/>
          <w:bCs/>
          <w:szCs w:val="22"/>
        </w:rPr>
        <w:t>,</w:t>
      </w:r>
      <w:r w:rsidRPr="008A5334">
        <w:rPr>
          <w:rFonts w:cs="Calibri"/>
          <w:bCs/>
          <w:szCs w:val="22"/>
        </w:rPr>
        <w:t xml:space="preserve"> which shows high values of F in the projection period</w:t>
      </w:r>
      <w:r>
        <w:rPr>
          <w:rFonts w:cs="Calibri"/>
          <w:bCs/>
          <w:szCs w:val="22"/>
        </w:rPr>
        <w:t>,</w:t>
      </w:r>
      <w:r w:rsidRPr="008A5334">
        <w:rPr>
          <w:rFonts w:cs="Calibri"/>
          <w:bCs/>
          <w:szCs w:val="22"/>
        </w:rPr>
        <w:t xml:space="preserve"> as a very small percentage of populations are estimated to go to zero under recent average catch levels.</w:t>
      </w:r>
    </w:p>
    <w:p w14:paraId="5B6326CA" w14:textId="77777777" w:rsidR="008B4B3C" w:rsidRPr="008A5334" w:rsidRDefault="008B4B3C" w:rsidP="008B4B3C">
      <w:pPr>
        <w:pStyle w:val="ListParagraph"/>
        <w:widowControl w:val="0"/>
        <w:kinsoku w:val="0"/>
        <w:overflowPunct w:val="0"/>
        <w:autoSpaceDE w:val="0"/>
        <w:autoSpaceDN w:val="0"/>
        <w:adjustRightInd w:val="0"/>
        <w:snapToGrid w:val="0"/>
        <w:rPr>
          <w:rFonts w:eastAsia="Batang" w:cs="Calibri"/>
          <w:lang w:eastAsia="ko-KR"/>
        </w:rPr>
      </w:pPr>
    </w:p>
    <w:p w14:paraId="7657CCD4" w14:textId="482F2FEA" w:rsidR="00DC209C" w:rsidRPr="008A34F8" w:rsidRDefault="00DC209C" w:rsidP="00DC209C">
      <w:pPr>
        <w:pStyle w:val="Heading1"/>
        <w:adjustRightInd w:val="0"/>
        <w:snapToGrid w:val="0"/>
        <w:spacing w:before="0" w:line="240" w:lineRule="auto"/>
        <w:rPr>
          <w:rFonts w:asciiTheme="minorHAnsi" w:hAnsiTheme="minorHAnsi" w:cstheme="minorHAnsi"/>
          <w:b/>
          <w:bCs/>
        </w:rPr>
      </w:pPr>
      <w:bookmarkStart w:id="13" w:name="_Toc214283717"/>
      <w:r w:rsidRPr="008A34F8">
        <w:rPr>
          <w:rFonts w:asciiTheme="minorHAnsi" w:hAnsiTheme="minorHAnsi" w:cstheme="minorHAnsi"/>
          <w:b/>
          <w:bCs/>
        </w:rPr>
        <w:t>SC20 2024 (STOCK ASSESSMENT CONDUCTED)</w:t>
      </w:r>
      <w:bookmarkEnd w:id="13"/>
    </w:p>
    <w:p w14:paraId="1904F920" w14:textId="77777777" w:rsidR="00DC209C" w:rsidRPr="008A34F8" w:rsidRDefault="00DC209C" w:rsidP="00DC209C">
      <w:pPr>
        <w:rPr>
          <w:rFonts w:cstheme="minorHAnsi"/>
        </w:rPr>
      </w:pPr>
    </w:p>
    <w:p w14:paraId="212C0405" w14:textId="77777777" w:rsidR="008A34F8" w:rsidRPr="008A34F8" w:rsidRDefault="008A34F8" w:rsidP="008A34F8">
      <w:pPr>
        <w:pStyle w:val="WCPFCnormal"/>
        <w:widowControl w:val="0"/>
        <w:adjustRightInd w:val="0"/>
        <w:snapToGrid w:val="0"/>
        <w:spacing w:after="0" w:line="240" w:lineRule="auto"/>
        <w:ind w:left="0" w:firstLine="0"/>
        <w:contextualSpacing w:val="0"/>
        <w:rPr>
          <w:rFonts w:asciiTheme="minorHAnsi" w:hAnsiTheme="minorHAnsi" w:cstheme="minorHAnsi"/>
        </w:rPr>
      </w:pPr>
      <w:r w:rsidRPr="008A34F8">
        <w:rPr>
          <w:rFonts w:asciiTheme="minorHAnsi" w:hAnsiTheme="minorHAnsi" w:cstheme="minorHAnsi"/>
        </w:rPr>
        <w:t>SC20 thanked the SSP for conducting the stock assessment of the Southwest Pacific striped marlin (SC20-SA-WP-03) and acknowledged their transparency in outlining the issues of serious concern from the SC with the technical aspects of the assessment.</w:t>
      </w:r>
    </w:p>
    <w:p w14:paraId="30A3050A" w14:textId="77777777" w:rsidR="008A34F8" w:rsidRPr="008A34F8" w:rsidRDefault="008A34F8" w:rsidP="008A34F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79052693" w14:textId="77777777" w:rsidR="008A34F8" w:rsidRPr="008A34F8" w:rsidRDefault="008A34F8" w:rsidP="008A34F8">
      <w:pPr>
        <w:pStyle w:val="WCPFCnormal"/>
        <w:widowControl w:val="0"/>
        <w:adjustRightInd w:val="0"/>
        <w:snapToGrid w:val="0"/>
        <w:spacing w:after="0" w:line="240" w:lineRule="auto"/>
        <w:ind w:left="0" w:firstLine="0"/>
        <w:contextualSpacing w:val="0"/>
        <w:rPr>
          <w:rFonts w:asciiTheme="minorHAnsi" w:hAnsiTheme="minorHAnsi" w:cstheme="minorHAnsi"/>
        </w:rPr>
      </w:pPr>
      <w:r w:rsidRPr="008A34F8">
        <w:rPr>
          <w:rFonts w:asciiTheme="minorHAnsi" w:hAnsiTheme="minorHAnsi" w:cstheme="minorHAnsi"/>
          <w:b/>
        </w:rPr>
        <w:t>Noting the above, SC20 recommended that further work, including resolving the conflict between the size composition data and the CPUE indices, should be undertaken as part of a revision to the assessment for consideration at SC21</w:t>
      </w:r>
      <w:r w:rsidRPr="008A34F8">
        <w:rPr>
          <w:rFonts w:asciiTheme="minorHAnsi" w:hAnsiTheme="minorHAnsi" w:cstheme="minorHAnsi"/>
        </w:rPr>
        <w:t xml:space="preserve">. </w:t>
      </w:r>
    </w:p>
    <w:p w14:paraId="55A5BC5A" w14:textId="77777777" w:rsidR="008A34F8" w:rsidRPr="008A34F8" w:rsidRDefault="008A34F8" w:rsidP="008A34F8">
      <w:pPr>
        <w:pStyle w:val="WCPFCnormal"/>
        <w:widowControl w:val="0"/>
        <w:numPr>
          <w:ilvl w:val="0"/>
          <w:numId w:val="0"/>
        </w:numPr>
        <w:adjustRightInd w:val="0"/>
        <w:snapToGrid w:val="0"/>
        <w:spacing w:after="0" w:line="240" w:lineRule="auto"/>
        <w:ind w:left="540"/>
        <w:contextualSpacing w:val="0"/>
        <w:rPr>
          <w:rFonts w:asciiTheme="minorHAnsi" w:hAnsiTheme="minorHAnsi" w:cstheme="minorHAnsi"/>
        </w:rPr>
      </w:pPr>
    </w:p>
    <w:p w14:paraId="5237B8B6" w14:textId="77777777" w:rsidR="008A34F8" w:rsidRPr="008A34F8" w:rsidRDefault="008A34F8" w:rsidP="008A34F8">
      <w:pPr>
        <w:pStyle w:val="WCPFCnormal"/>
        <w:widowControl w:val="0"/>
        <w:adjustRightInd w:val="0"/>
        <w:snapToGrid w:val="0"/>
        <w:spacing w:after="0" w:line="240" w:lineRule="auto"/>
        <w:ind w:left="0" w:firstLine="0"/>
        <w:contextualSpacing w:val="0"/>
        <w:rPr>
          <w:rFonts w:asciiTheme="minorHAnsi" w:hAnsiTheme="minorHAnsi" w:cstheme="minorHAnsi"/>
        </w:rPr>
      </w:pPr>
      <w:r w:rsidRPr="008A34F8">
        <w:rPr>
          <w:rFonts w:asciiTheme="minorHAnsi" w:hAnsiTheme="minorHAnsi" w:cstheme="minorHAnsi"/>
        </w:rPr>
        <w:t xml:space="preserve">SC20 acknowledged that further work on the assessment will place unplanned additional burden on the assessment team and welcomed the offer from the United States to provide in-kind support to SSP to moderate the impacts to other key SC21 deliverables. </w:t>
      </w:r>
    </w:p>
    <w:p w14:paraId="3EB60D29" w14:textId="77777777" w:rsidR="008A34F8" w:rsidRPr="008A34F8" w:rsidRDefault="008A34F8" w:rsidP="008A34F8">
      <w:pPr>
        <w:pStyle w:val="ListParagraph"/>
        <w:widowControl w:val="0"/>
        <w:rPr>
          <w:rFonts w:asciiTheme="minorHAnsi" w:hAnsiTheme="minorHAnsi" w:cstheme="minorHAnsi"/>
        </w:rPr>
      </w:pPr>
    </w:p>
    <w:p w14:paraId="1B662C4C" w14:textId="77777777" w:rsidR="008A34F8" w:rsidRPr="008A34F8" w:rsidRDefault="008A34F8" w:rsidP="008A34F8">
      <w:pPr>
        <w:pStyle w:val="WCPFCnormal"/>
        <w:widowControl w:val="0"/>
        <w:adjustRightInd w:val="0"/>
        <w:snapToGrid w:val="0"/>
        <w:spacing w:after="0" w:line="240" w:lineRule="auto"/>
        <w:ind w:left="0" w:firstLine="0"/>
        <w:contextualSpacing w:val="0"/>
        <w:rPr>
          <w:rFonts w:asciiTheme="minorHAnsi" w:hAnsiTheme="minorHAnsi" w:cstheme="minorHAnsi"/>
        </w:rPr>
      </w:pPr>
      <w:r w:rsidRPr="008A34F8">
        <w:rPr>
          <w:rFonts w:asciiTheme="minorHAnsi" w:hAnsiTheme="minorHAnsi" w:cstheme="minorHAnsi"/>
        </w:rPr>
        <w:t>SC20 encouraged the collection of additional age-at-length data for striped marlin across the southwest Pacific Ocean from 2025-2028, as outlined in the Billfish Research Plan. Additional age-at-length data are needed to further improve growth estimates through the internal estimation of growth within the stock assessment, as recommended by the WCPFC yellowfin assessment peer review.</w:t>
      </w:r>
    </w:p>
    <w:p w14:paraId="39BE24C5" w14:textId="77777777" w:rsidR="008A34F8" w:rsidRPr="008A34F8" w:rsidRDefault="008A34F8" w:rsidP="008A34F8">
      <w:pPr>
        <w:pStyle w:val="ListParagraph"/>
        <w:widowControl w:val="0"/>
        <w:rPr>
          <w:rFonts w:asciiTheme="minorHAnsi" w:hAnsiTheme="minorHAnsi" w:cstheme="minorHAnsi"/>
        </w:rPr>
      </w:pPr>
    </w:p>
    <w:p w14:paraId="4E956624" w14:textId="77777777" w:rsidR="008A34F8" w:rsidRPr="008A34F8" w:rsidRDefault="008A34F8" w:rsidP="008A34F8">
      <w:pPr>
        <w:widowControl w:val="0"/>
        <w:adjustRightInd w:val="0"/>
        <w:snapToGrid w:val="0"/>
        <w:rPr>
          <w:rFonts w:cstheme="minorHAnsi"/>
          <w:b/>
          <w:bCs/>
        </w:rPr>
      </w:pPr>
      <w:r w:rsidRPr="008A34F8">
        <w:rPr>
          <w:rFonts w:cstheme="minorHAnsi"/>
          <w:b/>
          <w:bCs/>
        </w:rPr>
        <w:t>Provision of scientific information to the Commission</w:t>
      </w:r>
    </w:p>
    <w:p w14:paraId="4348BAE2" w14:textId="77777777" w:rsidR="008A34F8" w:rsidRPr="008A34F8" w:rsidRDefault="008A34F8" w:rsidP="008A34F8">
      <w:pPr>
        <w:pStyle w:val="WCPFCnormal"/>
        <w:widowControl w:val="0"/>
        <w:adjustRightInd w:val="0"/>
        <w:snapToGrid w:val="0"/>
        <w:spacing w:after="0" w:line="240" w:lineRule="auto"/>
        <w:ind w:left="0" w:firstLine="0"/>
        <w:contextualSpacing w:val="0"/>
        <w:rPr>
          <w:rFonts w:asciiTheme="minorHAnsi" w:hAnsiTheme="minorHAnsi" w:cstheme="minorHAnsi"/>
          <w:bCs/>
        </w:rPr>
      </w:pPr>
      <w:r w:rsidRPr="008A34F8">
        <w:rPr>
          <w:rFonts w:asciiTheme="minorHAnsi" w:hAnsiTheme="minorHAnsi" w:cstheme="minorHAnsi"/>
          <w:bCs/>
        </w:rPr>
        <w:t xml:space="preserve">SC20 reiterated the most recent stock status advice from SC15 that “the stock is likely overfished, </w:t>
      </w:r>
      <w:r w:rsidRPr="008A34F8">
        <w:rPr>
          <w:rFonts w:asciiTheme="minorHAnsi" w:hAnsiTheme="minorHAnsi" w:cstheme="minorHAnsi"/>
          <w:bCs/>
        </w:rPr>
        <w:lastRenderedPageBreak/>
        <w:t xml:space="preserve">and close to undergoing overfishing according to MSY-based reference points.” </w:t>
      </w:r>
    </w:p>
    <w:p w14:paraId="583648BE" w14:textId="77777777" w:rsidR="008A34F8" w:rsidRPr="008A34F8" w:rsidRDefault="008A34F8" w:rsidP="008A34F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3591764B" w14:textId="77777777" w:rsidR="008A34F8" w:rsidRPr="008A34F8" w:rsidRDefault="008A34F8" w:rsidP="008A34F8">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8A34F8">
        <w:rPr>
          <w:rFonts w:asciiTheme="minorHAnsi" w:hAnsiTheme="minorHAnsi" w:cstheme="minorHAnsi"/>
          <w:b/>
          <w:bCs/>
        </w:rPr>
        <w:t>SC20 recommended that a revised assessment be presented at SC21 which includes presentation of the projection scenarios.</w:t>
      </w:r>
    </w:p>
    <w:p w14:paraId="2873E9D9" w14:textId="77777777" w:rsidR="008A34F8" w:rsidRPr="008A34F8" w:rsidRDefault="008A34F8" w:rsidP="008A34F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01DEF211" w14:textId="77777777" w:rsidR="008A34F8" w:rsidRPr="008A34F8" w:rsidRDefault="008A34F8" w:rsidP="008A34F8">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8A34F8">
        <w:rPr>
          <w:rFonts w:asciiTheme="minorHAnsi" w:hAnsiTheme="minorHAnsi" w:cstheme="minorHAnsi"/>
          <w:b/>
          <w:bCs/>
        </w:rPr>
        <w:t>SC20 recommended the WCPFC21 request a tractable set of projections, including, but not limited to the four scenarios proposed below:</w:t>
      </w:r>
    </w:p>
    <w:p w14:paraId="60F92D8C" w14:textId="77777777" w:rsidR="008A34F8" w:rsidRPr="008A34F8" w:rsidRDefault="008A34F8" w:rsidP="008A34F8">
      <w:pPr>
        <w:pStyle w:val="ListParagraph"/>
        <w:widowControl w:val="0"/>
        <w:rPr>
          <w:rFonts w:asciiTheme="minorHAnsi" w:hAnsiTheme="minorHAnsi" w:cstheme="minorHAnsi"/>
          <w:b/>
          <w:bCs/>
        </w:rPr>
      </w:pPr>
    </w:p>
    <w:p w14:paraId="5255369E" w14:textId="77777777" w:rsidR="008A34F8" w:rsidRPr="008A34F8" w:rsidRDefault="008A34F8" w:rsidP="008A34F8">
      <w:pPr>
        <w:pStyle w:val="ListParagraph"/>
        <w:widowControl w:val="0"/>
        <w:numPr>
          <w:ilvl w:val="0"/>
          <w:numId w:val="35"/>
        </w:numPr>
        <w:adjustRightInd w:val="0"/>
        <w:snapToGrid w:val="0"/>
        <w:ind w:left="851"/>
        <w:contextualSpacing w:val="0"/>
        <w:rPr>
          <w:rFonts w:asciiTheme="minorHAnsi" w:hAnsiTheme="minorHAnsi" w:cstheme="minorHAnsi"/>
          <w:b/>
          <w:bCs/>
        </w:rPr>
      </w:pPr>
      <w:r w:rsidRPr="008A34F8">
        <w:rPr>
          <w:rFonts w:asciiTheme="minorHAnsi" w:hAnsiTheme="minorHAnsi" w:cstheme="minorHAnsi"/>
          <w:b/>
          <w:bCs/>
        </w:rPr>
        <w:t xml:space="preserve">Status quo scenario: Projection based on recent catch </w:t>
      </w:r>
      <w:proofErr w:type="gramStart"/>
      <w:r w:rsidRPr="008A34F8">
        <w:rPr>
          <w:rFonts w:asciiTheme="minorHAnsi" w:hAnsiTheme="minorHAnsi" w:cstheme="minorHAnsi"/>
          <w:b/>
          <w:bCs/>
        </w:rPr>
        <w:t>levels;</w:t>
      </w:r>
      <w:proofErr w:type="gramEnd"/>
    </w:p>
    <w:p w14:paraId="2A1D2550" w14:textId="77777777" w:rsidR="008A34F8" w:rsidRPr="008A34F8" w:rsidRDefault="008A34F8" w:rsidP="008A34F8">
      <w:pPr>
        <w:pStyle w:val="ListParagraph"/>
        <w:widowControl w:val="0"/>
        <w:numPr>
          <w:ilvl w:val="0"/>
          <w:numId w:val="35"/>
        </w:numPr>
        <w:adjustRightInd w:val="0"/>
        <w:snapToGrid w:val="0"/>
        <w:ind w:left="851"/>
        <w:contextualSpacing w:val="0"/>
        <w:rPr>
          <w:rFonts w:asciiTheme="minorHAnsi" w:hAnsiTheme="minorHAnsi" w:cstheme="minorHAnsi"/>
          <w:b/>
          <w:bCs/>
        </w:rPr>
      </w:pPr>
      <w:r w:rsidRPr="008A34F8">
        <w:rPr>
          <w:rFonts w:asciiTheme="minorHAnsi" w:hAnsiTheme="minorHAnsi" w:cstheme="minorHAnsi"/>
          <w:b/>
          <w:bCs/>
        </w:rPr>
        <w:t>Recovery scenario 1: Catch levels that result to a median depletion of 20%</w:t>
      </w:r>
      <w:bookmarkStart w:id="14" w:name="_Hlk182253391"/>
      <w:r w:rsidRPr="008A34F8">
        <w:rPr>
          <w:rFonts w:asciiTheme="minorHAnsi" w:hAnsiTheme="minorHAnsi" w:cstheme="minorHAnsi"/>
          <w:b/>
          <w:bCs/>
        </w:rPr>
        <w:t xml:space="preserve"> </w:t>
      </w:r>
      <w:bookmarkEnd w:id="14"/>
      <w:r w:rsidRPr="008A34F8">
        <w:rPr>
          <w:rFonts w:asciiTheme="minorHAnsi" w:hAnsiTheme="minorHAnsi" w:cstheme="minorHAnsi"/>
          <w:b/>
          <w:bCs/>
        </w:rPr>
        <w:t xml:space="preserve">within 10 </w:t>
      </w:r>
      <w:proofErr w:type="gramStart"/>
      <w:r w:rsidRPr="008A34F8">
        <w:rPr>
          <w:rFonts w:asciiTheme="minorHAnsi" w:hAnsiTheme="minorHAnsi" w:cstheme="minorHAnsi"/>
          <w:b/>
          <w:bCs/>
        </w:rPr>
        <w:t>years;</w:t>
      </w:r>
      <w:proofErr w:type="gramEnd"/>
    </w:p>
    <w:p w14:paraId="3B2D46B4" w14:textId="77777777" w:rsidR="008A34F8" w:rsidRPr="008A34F8" w:rsidRDefault="008A34F8" w:rsidP="008A34F8">
      <w:pPr>
        <w:pStyle w:val="ListParagraph"/>
        <w:widowControl w:val="0"/>
        <w:numPr>
          <w:ilvl w:val="0"/>
          <w:numId w:val="35"/>
        </w:numPr>
        <w:adjustRightInd w:val="0"/>
        <w:snapToGrid w:val="0"/>
        <w:ind w:left="851"/>
        <w:contextualSpacing w:val="0"/>
        <w:rPr>
          <w:rFonts w:asciiTheme="minorHAnsi" w:hAnsiTheme="minorHAnsi" w:cstheme="minorHAnsi"/>
          <w:b/>
          <w:bCs/>
        </w:rPr>
      </w:pPr>
      <w:r w:rsidRPr="008A34F8">
        <w:rPr>
          <w:rFonts w:asciiTheme="minorHAnsi" w:hAnsiTheme="minorHAnsi" w:cstheme="minorHAnsi"/>
          <w:b/>
          <w:bCs/>
        </w:rPr>
        <w:t>Recovery scenario 2 Catch levels that result to a median depletion of 30% within 10 years; and</w:t>
      </w:r>
    </w:p>
    <w:p w14:paraId="52FE3CA8" w14:textId="77777777" w:rsidR="008A34F8" w:rsidRPr="008A34F8" w:rsidRDefault="008A34F8" w:rsidP="008A34F8">
      <w:pPr>
        <w:pStyle w:val="ListParagraph"/>
        <w:widowControl w:val="0"/>
        <w:numPr>
          <w:ilvl w:val="0"/>
          <w:numId w:val="35"/>
        </w:numPr>
        <w:adjustRightInd w:val="0"/>
        <w:snapToGrid w:val="0"/>
        <w:ind w:left="851"/>
        <w:contextualSpacing w:val="0"/>
        <w:rPr>
          <w:rFonts w:asciiTheme="minorHAnsi" w:hAnsiTheme="minorHAnsi" w:cstheme="minorHAnsi"/>
          <w:b/>
          <w:bCs/>
        </w:rPr>
      </w:pPr>
      <w:r w:rsidRPr="008A34F8">
        <w:rPr>
          <w:rFonts w:asciiTheme="minorHAnsi" w:hAnsiTheme="minorHAnsi" w:cstheme="minorHAnsi"/>
          <w:b/>
          <w:bCs/>
        </w:rPr>
        <w:t>Non-retention/live release scenario: Catch levels that reflect the likely outcomes under a management measure requiring the release of live animals or non-retention of all animals.</w:t>
      </w:r>
    </w:p>
    <w:p w14:paraId="7E69EDFE" w14:textId="77777777" w:rsidR="008A34F8" w:rsidRPr="008A34F8" w:rsidRDefault="008A34F8" w:rsidP="008A34F8">
      <w:pPr>
        <w:widowControl w:val="0"/>
        <w:adjustRightInd w:val="0"/>
        <w:snapToGrid w:val="0"/>
        <w:spacing w:after="0" w:line="240" w:lineRule="auto"/>
        <w:rPr>
          <w:rFonts w:cstheme="minorHAnsi"/>
          <w:b/>
          <w:bCs/>
          <w:highlight w:val="cyan"/>
        </w:rPr>
      </w:pPr>
    </w:p>
    <w:p w14:paraId="42636318" w14:textId="77777777" w:rsidR="008A34F8" w:rsidRPr="008A34F8" w:rsidRDefault="008A34F8" w:rsidP="00DC209C">
      <w:pPr>
        <w:pStyle w:val="Heading1"/>
        <w:adjustRightInd w:val="0"/>
        <w:snapToGrid w:val="0"/>
        <w:spacing w:before="0" w:line="240" w:lineRule="auto"/>
        <w:rPr>
          <w:rFonts w:asciiTheme="minorHAnsi" w:hAnsiTheme="minorHAnsi" w:cstheme="minorHAnsi"/>
          <w:b/>
          <w:bCs/>
        </w:rPr>
      </w:pPr>
    </w:p>
    <w:p w14:paraId="64CCE8D8" w14:textId="071EC475" w:rsidR="00DC209C" w:rsidRPr="008A34F8" w:rsidRDefault="00DC209C" w:rsidP="00DC209C">
      <w:pPr>
        <w:pStyle w:val="Heading1"/>
        <w:adjustRightInd w:val="0"/>
        <w:snapToGrid w:val="0"/>
        <w:spacing w:before="0" w:line="240" w:lineRule="auto"/>
        <w:rPr>
          <w:rFonts w:asciiTheme="minorHAnsi" w:hAnsiTheme="minorHAnsi" w:cstheme="minorHAnsi"/>
          <w:b/>
          <w:bCs/>
        </w:rPr>
      </w:pPr>
      <w:bookmarkStart w:id="15" w:name="_Toc214283718"/>
      <w:r w:rsidRPr="008A34F8">
        <w:rPr>
          <w:rFonts w:asciiTheme="minorHAnsi" w:hAnsiTheme="minorHAnsi" w:cstheme="minorHAnsi"/>
          <w:b/>
          <w:bCs/>
        </w:rPr>
        <w:t>SC16, 2020 – SC19, 2023 (NO STOCK ASSESSMENTS)</w:t>
      </w:r>
      <w:bookmarkEnd w:id="15"/>
    </w:p>
    <w:p w14:paraId="240DA0C1" w14:textId="77777777" w:rsidR="00DC209C" w:rsidRPr="008A34F8" w:rsidRDefault="00DC209C" w:rsidP="00DC209C">
      <w:pPr>
        <w:tabs>
          <w:tab w:val="left" w:pos="820"/>
        </w:tabs>
        <w:adjustRightInd w:val="0"/>
        <w:snapToGrid w:val="0"/>
        <w:spacing w:after="0" w:line="240" w:lineRule="auto"/>
        <w:rPr>
          <w:rFonts w:cstheme="minorHAnsi"/>
          <w:b/>
          <w:sz w:val="24"/>
          <w:szCs w:val="24"/>
        </w:rPr>
      </w:pPr>
    </w:p>
    <w:p w14:paraId="39DCD060" w14:textId="77777777" w:rsidR="00DC209C" w:rsidRPr="008A34F8" w:rsidRDefault="00DC209C" w:rsidP="00DC209C">
      <w:pPr>
        <w:pStyle w:val="ListParagraph"/>
        <w:numPr>
          <w:ilvl w:val="0"/>
          <w:numId w:val="33"/>
        </w:numPr>
        <w:adjustRightInd w:val="0"/>
        <w:snapToGrid w:val="0"/>
        <w:ind w:left="0" w:firstLine="0"/>
        <w:rPr>
          <w:rFonts w:asciiTheme="minorHAnsi" w:hAnsiTheme="minorHAnsi" w:cstheme="minorHAnsi"/>
          <w:b/>
          <w:sz w:val="24"/>
          <w:szCs w:val="24"/>
        </w:rPr>
      </w:pPr>
      <w:r w:rsidRPr="008A34F8">
        <w:rPr>
          <w:rFonts w:asciiTheme="minorHAnsi" w:hAnsiTheme="minorHAnsi" w:cstheme="minorHAnsi"/>
          <w:b/>
          <w:sz w:val="24"/>
          <w:szCs w:val="24"/>
        </w:rPr>
        <w:t>Stock Status</w:t>
      </w:r>
    </w:p>
    <w:p w14:paraId="6732B88E" w14:textId="77777777" w:rsidR="00DC209C" w:rsidRPr="008A34F8" w:rsidRDefault="00DC209C" w:rsidP="00DC209C">
      <w:pPr>
        <w:pStyle w:val="BodyText"/>
        <w:adjustRightInd w:val="0"/>
        <w:snapToGrid w:val="0"/>
        <w:rPr>
          <w:rFonts w:asciiTheme="minorHAnsi" w:hAnsiTheme="minorHAnsi" w:cstheme="minorHAnsi"/>
        </w:rPr>
      </w:pPr>
    </w:p>
    <w:p w14:paraId="1FDF1CF1" w14:textId="7C9A6796" w:rsidR="00DC209C" w:rsidRPr="008A34F8" w:rsidRDefault="00DC209C" w:rsidP="00DC209C">
      <w:pPr>
        <w:pStyle w:val="ListParagraph"/>
        <w:numPr>
          <w:ilvl w:val="3"/>
          <w:numId w:val="30"/>
        </w:numPr>
        <w:tabs>
          <w:tab w:val="left" w:pos="820"/>
        </w:tabs>
        <w:adjustRightInd w:val="0"/>
        <w:snapToGrid w:val="0"/>
        <w:ind w:left="0" w:right="116" w:firstLine="0"/>
        <w:contextualSpacing w:val="0"/>
        <w:rPr>
          <w:rFonts w:asciiTheme="minorHAnsi" w:hAnsiTheme="minorHAnsi" w:cstheme="minorHAnsi"/>
          <w:bCs/>
          <w:sz w:val="24"/>
          <w:szCs w:val="24"/>
        </w:rPr>
      </w:pPr>
      <w:r w:rsidRPr="008A34F8">
        <w:rPr>
          <w:rFonts w:asciiTheme="minorHAnsi" w:hAnsiTheme="minorHAnsi" w:cstheme="minorHAnsi"/>
          <w:bCs/>
          <w:sz w:val="24"/>
          <w:szCs w:val="24"/>
        </w:rPr>
        <w:t xml:space="preserve">SC19 noted that no stock assessments were conducted for southwest Pacific striped marlin in 2023. Therefore, the stock status descriptions from SC15 are still current for southwest Pacific striped marlin. </w:t>
      </w:r>
    </w:p>
    <w:p w14:paraId="4D661EF8" w14:textId="77777777" w:rsidR="00DC209C" w:rsidRPr="008A34F8" w:rsidRDefault="00DC209C" w:rsidP="00DC209C">
      <w:pPr>
        <w:pStyle w:val="BodyText"/>
        <w:adjustRightInd w:val="0"/>
        <w:snapToGrid w:val="0"/>
        <w:rPr>
          <w:rFonts w:asciiTheme="minorHAnsi" w:hAnsiTheme="minorHAnsi" w:cstheme="minorHAnsi"/>
          <w:bCs/>
        </w:rPr>
      </w:pPr>
    </w:p>
    <w:p w14:paraId="61BEECA1" w14:textId="77777777" w:rsidR="00DC209C" w:rsidRPr="008A34F8" w:rsidRDefault="00DC209C" w:rsidP="00DC209C">
      <w:pPr>
        <w:pStyle w:val="ListParagraph"/>
        <w:numPr>
          <w:ilvl w:val="0"/>
          <w:numId w:val="33"/>
        </w:numPr>
        <w:adjustRightInd w:val="0"/>
        <w:snapToGrid w:val="0"/>
        <w:ind w:left="0" w:firstLine="0"/>
        <w:rPr>
          <w:rFonts w:asciiTheme="minorHAnsi" w:hAnsiTheme="minorHAnsi" w:cstheme="minorHAnsi"/>
          <w:b/>
          <w:sz w:val="24"/>
          <w:szCs w:val="24"/>
        </w:rPr>
      </w:pPr>
      <w:r w:rsidRPr="008A34F8">
        <w:rPr>
          <w:rFonts w:asciiTheme="minorHAnsi" w:hAnsiTheme="minorHAnsi" w:cstheme="minorHAnsi"/>
          <w:b/>
          <w:sz w:val="24"/>
          <w:szCs w:val="24"/>
        </w:rPr>
        <w:t>Management Advice</w:t>
      </w:r>
    </w:p>
    <w:p w14:paraId="7488C2D6" w14:textId="77777777" w:rsidR="00DC209C" w:rsidRPr="008A34F8" w:rsidRDefault="00DC209C" w:rsidP="00DC209C">
      <w:pPr>
        <w:pStyle w:val="BodyText"/>
        <w:adjustRightInd w:val="0"/>
        <w:snapToGrid w:val="0"/>
        <w:rPr>
          <w:rFonts w:asciiTheme="minorHAnsi" w:hAnsiTheme="minorHAnsi" w:cstheme="minorHAnsi"/>
        </w:rPr>
      </w:pPr>
    </w:p>
    <w:p w14:paraId="3DA79097" w14:textId="113403A8" w:rsidR="00DC209C" w:rsidRPr="008A34F8" w:rsidRDefault="00DC209C" w:rsidP="00DC209C">
      <w:pPr>
        <w:pStyle w:val="ListParagraph"/>
        <w:numPr>
          <w:ilvl w:val="3"/>
          <w:numId w:val="30"/>
        </w:numPr>
        <w:tabs>
          <w:tab w:val="left" w:pos="820"/>
        </w:tabs>
        <w:adjustRightInd w:val="0"/>
        <w:snapToGrid w:val="0"/>
        <w:ind w:left="0" w:right="116" w:firstLine="0"/>
        <w:contextualSpacing w:val="0"/>
        <w:rPr>
          <w:rFonts w:asciiTheme="minorHAnsi" w:hAnsiTheme="minorHAnsi" w:cstheme="minorHAnsi"/>
          <w:bCs/>
          <w:sz w:val="24"/>
          <w:szCs w:val="24"/>
        </w:rPr>
      </w:pPr>
      <w:r w:rsidRPr="008A34F8">
        <w:rPr>
          <w:rFonts w:asciiTheme="minorHAnsi" w:hAnsiTheme="minorHAnsi" w:cstheme="minorHAnsi"/>
          <w:bCs/>
          <w:sz w:val="24"/>
          <w:szCs w:val="24"/>
        </w:rPr>
        <w:t xml:space="preserve">SC19 noted that the previous management advice from SC15 should be maintained, pending a new assessment or other new information. </w:t>
      </w:r>
      <w:r w:rsidRPr="008A34F8">
        <w:rPr>
          <w:rFonts w:asciiTheme="minorHAnsi" w:hAnsiTheme="minorHAnsi" w:cstheme="minorHAnsi"/>
          <w:bCs/>
          <w:lang w:val="en-AU"/>
        </w:rPr>
        <w:t>For further information on the management advice and implications from SC15, please see below.</w:t>
      </w:r>
    </w:p>
    <w:p w14:paraId="35E4F7D9" w14:textId="77777777" w:rsidR="00DC209C" w:rsidRPr="008A34F8" w:rsidRDefault="00DC209C" w:rsidP="000A3F2E">
      <w:pPr>
        <w:pStyle w:val="Heading1"/>
        <w:adjustRightInd w:val="0"/>
        <w:snapToGrid w:val="0"/>
        <w:spacing w:before="0" w:line="240" w:lineRule="auto"/>
        <w:rPr>
          <w:rFonts w:asciiTheme="minorHAnsi" w:hAnsiTheme="minorHAnsi" w:cstheme="minorHAnsi"/>
          <w:b/>
          <w:bCs/>
        </w:rPr>
      </w:pPr>
    </w:p>
    <w:p w14:paraId="576F52EB" w14:textId="77777777" w:rsidR="00DC209C" w:rsidRPr="008A34F8" w:rsidRDefault="00DC209C" w:rsidP="000A3F2E">
      <w:pPr>
        <w:pStyle w:val="Heading1"/>
        <w:adjustRightInd w:val="0"/>
        <w:snapToGrid w:val="0"/>
        <w:spacing w:before="0" w:line="240" w:lineRule="auto"/>
        <w:rPr>
          <w:rFonts w:asciiTheme="minorHAnsi" w:hAnsiTheme="minorHAnsi" w:cstheme="minorHAnsi"/>
          <w:b/>
          <w:bCs/>
        </w:rPr>
      </w:pPr>
    </w:p>
    <w:p w14:paraId="3DC7F880" w14:textId="2C0503CB" w:rsidR="000A3F2E" w:rsidRPr="008A34F8" w:rsidRDefault="000A3F2E" w:rsidP="000A3F2E">
      <w:pPr>
        <w:pStyle w:val="Heading1"/>
        <w:adjustRightInd w:val="0"/>
        <w:snapToGrid w:val="0"/>
        <w:spacing w:before="0" w:line="240" w:lineRule="auto"/>
        <w:rPr>
          <w:rFonts w:asciiTheme="minorHAnsi" w:hAnsiTheme="minorHAnsi" w:cstheme="minorHAnsi"/>
          <w:b/>
          <w:bCs/>
        </w:rPr>
      </w:pPr>
      <w:bookmarkStart w:id="16" w:name="_Toc214283719"/>
      <w:r w:rsidRPr="008A34F8">
        <w:rPr>
          <w:rFonts w:asciiTheme="minorHAnsi" w:hAnsiTheme="minorHAnsi" w:cstheme="minorHAnsi"/>
          <w:b/>
          <w:bCs/>
        </w:rPr>
        <w:t>SC15 2019 (STOCK ASSESSMENT CONDUCTED)</w:t>
      </w:r>
      <w:bookmarkEnd w:id="16"/>
    </w:p>
    <w:p w14:paraId="4D6EDE0F" w14:textId="77777777" w:rsidR="000A3F2E" w:rsidRPr="008A34F8" w:rsidRDefault="000A3F2E" w:rsidP="000A3F2E">
      <w:pPr>
        <w:pStyle w:val="ListParagraph"/>
        <w:kinsoku w:val="0"/>
        <w:overflowPunct w:val="0"/>
        <w:autoSpaceDE w:val="0"/>
        <w:autoSpaceDN w:val="0"/>
        <w:adjustRightInd w:val="0"/>
        <w:snapToGrid w:val="0"/>
        <w:contextualSpacing w:val="0"/>
        <w:rPr>
          <w:rFonts w:asciiTheme="minorHAnsi" w:hAnsiTheme="minorHAnsi" w:cstheme="minorHAnsi"/>
        </w:rPr>
      </w:pPr>
    </w:p>
    <w:p w14:paraId="3149D59E" w14:textId="6D53683A" w:rsidR="000A3F2E" w:rsidRPr="008A34F8" w:rsidRDefault="000A3F2E" w:rsidP="000A3F2E">
      <w:pPr>
        <w:pStyle w:val="ListParagraph"/>
        <w:numPr>
          <w:ilvl w:val="0"/>
          <w:numId w:val="32"/>
        </w:numPr>
        <w:adjustRightInd w:val="0"/>
        <w:snapToGrid w:val="0"/>
        <w:ind w:left="0" w:firstLine="0"/>
        <w:contextualSpacing w:val="0"/>
        <w:jc w:val="left"/>
        <w:rPr>
          <w:rFonts w:asciiTheme="minorHAnsi" w:hAnsiTheme="minorHAnsi" w:cstheme="minorHAnsi"/>
          <w:b/>
        </w:rPr>
      </w:pPr>
      <w:r w:rsidRPr="008A34F8">
        <w:rPr>
          <w:rFonts w:asciiTheme="minorHAnsi" w:hAnsiTheme="minorHAnsi" w:cstheme="minorHAnsi"/>
          <w:b/>
        </w:rPr>
        <w:t xml:space="preserve">Stock </w:t>
      </w:r>
      <w:r w:rsidR="00C4277A" w:rsidRPr="008A34F8">
        <w:rPr>
          <w:rFonts w:asciiTheme="minorHAnsi" w:hAnsiTheme="minorHAnsi" w:cstheme="minorHAnsi"/>
          <w:b/>
        </w:rPr>
        <w:t>s</w:t>
      </w:r>
      <w:r w:rsidRPr="008A34F8">
        <w:rPr>
          <w:rFonts w:asciiTheme="minorHAnsi" w:hAnsiTheme="minorHAnsi" w:cstheme="minorHAnsi"/>
          <w:b/>
        </w:rPr>
        <w:t>tatus and trends</w:t>
      </w:r>
    </w:p>
    <w:p w14:paraId="7894E503" w14:textId="77777777" w:rsidR="000A3F2E" w:rsidRPr="008A34F8" w:rsidRDefault="000A3F2E" w:rsidP="000A3F2E">
      <w:pPr>
        <w:autoSpaceDE w:val="0"/>
        <w:autoSpaceDN w:val="0"/>
        <w:adjustRightInd w:val="0"/>
        <w:snapToGrid w:val="0"/>
        <w:spacing w:after="0" w:line="240" w:lineRule="auto"/>
        <w:rPr>
          <w:rFonts w:cstheme="minorHAnsi"/>
        </w:rPr>
      </w:pPr>
    </w:p>
    <w:p w14:paraId="0322A366" w14:textId="77777777" w:rsidR="000A3F2E" w:rsidRPr="008A34F8" w:rsidRDefault="000A3F2E" w:rsidP="00C4277A">
      <w:pPr>
        <w:pStyle w:val="WCPFC"/>
        <w:adjustRightInd w:val="0"/>
        <w:spacing w:after="0"/>
        <w:ind w:left="0" w:firstLine="0"/>
        <w:rPr>
          <w:rFonts w:asciiTheme="minorHAnsi" w:hAnsiTheme="minorHAnsi" w:cstheme="minorHAnsi"/>
        </w:rPr>
      </w:pPr>
      <w:r w:rsidRPr="008A34F8">
        <w:rPr>
          <w:rFonts w:asciiTheme="minorHAnsi" w:hAnsiTheme="minorHAnsi" w:cstheme="minorHAnsi"/>
        </w:rPr>
        <w:t>The description of the updated structural sensitivity grid used to characterize uncertainty in the assessment is provided in Table SMLS-01. The spatial structure used in the assessment model is shown in Figure SMLS-01, with sub-regions used to define fisheries shown. Catch trend data is presented in Figure SMLS-02. Estimated annual average recruitment, spawning biomass, and total biomass from the diagnostic case are shown in Figure SMLS-03. Fishing mortality and depletion estimated from the diagnostic case are shown in Figures SMLS-04 and SMLS-05, respectively. The median and 80 percent quantile trajectories of the fishing depletion for models in the structural uncertainty across the grid axes in Table SMLS-01 are shown in Figure SMLS-6.</w:t>
      </w:r>
    </w:p>
    <w:p w14:paraId="62E3248B" w14:textId="77777777" w:rsidR="000A3F2E" w:rsidRPr="008A34F8" w:rsidRDefault="000A3F2E" w:rsidP="00C4277A">
      <w:pPr>
        <w:autoSpaceDE w:val="0"/>
        <w:autoSpaceDN w:val="0"/>
        <w:adjustRightInd w:val="0"/>
        <w:snapToGrid w:val="0"/>
        <w:spacing w:after="0" w:line="240" w:lineRule="auto"/>
        <w:jc w:val="both"/>
        <w:rPr>
          <w:rFonts w:cstheme="minorHAnsi"/>
        </w:rPr>
      </w:pPr>
    </w:p>
    <w:p w14:paraId="3EFDD3F2" w14:textId="77777777" w:rsidR="000A3F2E" w:rsidRPr="008A34F8" w:rsidRDefault="000A3F2E" w:rsidP="00C4277A">
      <w:pPr>
        <w:pStyle w:val="WCPFC"/>
        <w:adjustRightInd w:val="0"/>
        <w:spacing w:after="0"/>
        <w:ind w:left="0" w:firstLine="0"/>
        <w:rPr>
          <w:rFonts w:asciiTheme="minorHAnsi" w:hAnsiTheme="minorHAnsi" w:cstheme="minorHAnsi"/>
        </w:rPr>
      </w:pPr>
      <w:r w:rsidRPr="008A34F8">
        <w:rPr>
          <w:rFonts w:asciiTheme="minorHAnsi" w:hAnsiTheme="minorHAnsi" w:cstheme="minorHAnsi"/>
          <w:bCs/>
        </w:rPr>
        <w:lastRenderedPageBreak/>
        <w:t xml:space="preserve">The </w:t>
      </w:r>
      <w:r w:rsidRPr="008A34F8">
        <w:rPr>
          <w:rFonts w:asciiTheme="minorHAnsi" w:hAnsiTheme="minorHAnsi" w:cstheme="minorHAnsi"/>
          <w:bCs/>
          <w:lang w:val="en-AU"/>
        </w:rPr>
        <w:t xml:space="preserve">Majuro plot summarizing the results for each of the models in the structural uncertainty grid retained for management advice are represented in Figure SMLS-07. Figure SMLS-08 presents the Kobe plot summarizing the results for each of the models in the structural uncertainty grid retained for management advice. </w:t>
      </w:r>
    </w:p>
    <w:p w14:paraId="2AB8C787" w14:textId="77777777" w:rsidR="000A3F2E" w:rsidRPr="008A34F8" w:rsidRDefault="000A3F2E" w:rsidP="00C4277A">
      <w:pPr>
        <w:adjustRightInd w:val="0"/>
        <w:snapToGrid w:val="0"/>
        <w:spacing w:after="0" w:line="240" w:lineRule="auto"/>
        <w:jc w:val="both"/>
        <w:rPr>
          <w:rFonts w:cstheme="minorHAnsi"/>
        </w:rPr>
      </w:pPr>
    </w:p>
    <w:p w14:paraId="0DCB4D01" w14:textId="77777777" w:rsidR="000A3F2E" w:rsidRPr="008A34F8" w:rsidRDefault="000A3F2E" w:rsidP="00C4277A">
      <w:pPr>
        <w:pStyle w:val="WCPFC"/>
        <w:adjustRightInd w:val="0"/>
        <w:spacing w:after="0"/>
        <w:ind w:left="0" w:firstLine="0"/>
        <w:rPr>
          <w:rFonts w:asciiTheme="minorHAnsi" w:hAnsiTheme="minorHAnsi" w:cstheme="minorHAnsi"/>
          <w:bCs/>
          <w:lang w:val="en-AU"/>
        </w:rPr>
      </w:pPr>
      <w:r w:rsidRPr="008A34F8">
        <w:rPr>
          <w:rFonts w:asciiTheme="minorHAnsi" w:hAnsiTheme="minorHAnsi" w:cstheme="minorHAnsi"/>
          <w:bCs/>
          <w:lang w:val="en-AU"/>
        </w:rPr>
        <w:t>SC15 noted that the median of recent spawning biomass depletion relative to the unfished condition was (SB</w:t>
      </w:r>
      <w:r w:rsidRPr="008A34F8">
        <w:rPr>
          <w:rFonts w:asciiTheme="minorHAnsi" w:hAnsiTheme="minorHAnsi" w:cstheme="minorHAnsi"/>
          <w:bCs/>
          <w:vertAlign w:val="subscript"/>
          <w:lang w:val="en-AU"/>
        </w:rPr>
        <w:t>recent</w:t>
      </w:r>
      <w:r w:rsidRPr="008A34F8">
        <w:rPr>
          <w:rFonts w:asciiTheme="minorHAnsi" w:hAnsiTheme="minorHAnsi" w:cstheme="minorHAnsi"/>
          <w:bCs/>
          <w:lang w:val="en-AU"/>
        </w:rPr>
        <w:t>/SB</w:t>
      </w:r>
      <w:r w:rsidRPr="008A34F8">
        <w:rPr>
          <w:rFonts w:asciiTheme="minorHAnsi" w:hAnsiTheme="minorHAnsi" w:cstheme="minorHAnsi"/>
          <w:bCs/>
          <w:vertAlign w:val="subscript"/>
          <w:lang w:val="en-AU"/>
        </w:rPr>
        <w:t>F=0</w:t>
      </w:r>
      <w:r w:rsidRPr="008A34F8">
        <w:rPr>
          <w:rFonts w:asciiTheme="minorHAnsi" w:hAnsiTheme="minorHAnsi" w:cstheme="minorHAnsi"/>
          <w:bCs/>
          <w:lang w:val="en-AU"/>
        </w:rPr>
        <w:t xml:space="preserve">) = </w:t>
      </w:r>
      <w:r w:rsidRPr="008A34F8">
        <w:rPr>
          <w:rFonts w:asciiTheme="minorHAnsi" w:hAnsiTheme="minorHAnsi" w:cstheme="minorHAnsi"/>
          <w:lang w:val="en-AU"/>
        </w:rPr>
        <w:t>0.198,</w:t>
      </w:r>
      <w:r w:rsidRPr="008A34F8">
        <w:rPr>
          <w:rFonts w:asciiTheme="minorHAnsi" w:hAnsiTheme="minorHAnsi" w:cstheme="minorHAnsi"/>
          <w:bCs/>
          <w:lang w:val="en-AU"/>
        </w:rPr>
        <w:t xml:space="preserve"> with a probable range of </w:t>
      </w:r>
      <w:r w:rsidRPr="008A34F8">
        <w:rPr>
          <w:rFonts w:asciiTheme="minorHAnsi" w:hAnsiTheme="minorHAnsi" w:cstheme="minorHAnsi"/>
          <w:lang w:val="en-AU"/>
        </w:rPr>
        <w:t>0.093</w:t>
      </w:r>
      <w:r w:rsidRPr="008A34F8">
        <w:rPr>
          <w:rFonts w:asciiTheme="minorHAnsi" w:hAnsiTheme="minorHAnsi" w:cstheme="minorHAnsi"/>
          <w:bCs/>
          <w:lang w:val="en-AU"/>
        </w:rPr>
        <w:t xml:space="preserve"> to </w:t>
      </w:r>
      <w:r w:rsidRPr="008A34F8">
        <w:rPr>
          <w:rFonts w:asciiTheme="minorHAnsi" w:hAnsiTheme="minorHAnsi" w:cstheme="minorHAnsi"/>
          <w:lang w:val="en-AU"/>
        </w:rPr>
        <w:t>0.464</w:t>
      </w:r>
      <w:r w:rsidRPr="008A34F8">
        <w:rPr>
          <w:rFonts w:asciiTheme="minorHAnsi" w:hAnsiTheme="minorHAnsi" w:cstheme="minorHAnsi"/>
          <w:bCs/>
          <w:lang w:val="en-AU"/>
        </w:rPr>
        <w:t xml:space="preserve"> (80% probable range), and there was a roughly 50.33% probability (151 out of 300 models) that the recent spawning biomass depletion relative to the unfished condition was below the LRP adopted for tunas (SB</w:t>
      </w:r>
      <w:r w:rsidRPr="008A34F8">
        <w:rPr>
          <w:rFonts w:asciiTheme="minorHAnsi" w:hAnsiTheme="minorHAnsi" w:cstheme="minorHAnsi"/>
          <w:bCs/>
          <w:vertAlign w:val="subscript"/>
          <w:lang w:val="en-AU"/>
        </w:rPr>
        <w:t>recent</w:t>
      </w:r>
      <w:r w:rsidRPr="008A34F8">
        <w:rPr>
          <w:rFonts w:asciiTheme="minorHAnsi" w:hAnsiTheme="minorHAnsi" w:cstheme="minorHAnsi"/>
          <w:bCs/>
          <w:lang w:val="en-AU"/>
        </w:rPr>
        <w:t>/SB</w:t>
      </w:r>
      <w:r w:rsidRPr="008A34F8">
        <w:rPr>
          <w:rFonts w:asciiTheme="minorHAnsi" w:hAnsiTheme="minorHAnsi" w:cstheme="minorHAnsi"/>
          <w:bCs/>
          <w:vertAlign w:val="subscript"/>
          <w:lang w:val="en-AU"/>
        </w:rPr>
        <w:t xml:space="preserve">F=0 </w:t>
      </w:r>
      <w:r w:rsidRPr="008A34F8">
        <w:rPr>
          <w:rFonts w:asciiTheme="minorHAnsi" w:hAnsiTheme="minorHAnsi" w:cstheme="minorHAnsi"/>
          <w:bCs/>
          <w:lang w:val="en-AU"/>
        </w:rPr>
        <w:t>= 0.2). The median estimate (0.198) is below that estimated from the previous (2012) assessment (SB</w:t>
      </w:r>
      <w:r w:rsidRPr="008A34F8">
        <w:rPr>
          <w:rFonts w:asciiTheme="minorHAnsi" w:hAnsiTheme="minorHAnsi" w:cstheme="minorHAnsi"/>
          <w:bCs/>
          <w:vertAlign w:val="subscript"/>
          <w:lang w:val="en-AU"/>
        </w:rPr>
        <w:t>2006-2009</w:t>
      </w:r>
      <w:r w:rsidRPr="008A34F8">
        <w:rPr>
          <w:rFonts w:asciiTheme="minorHAnsi" w:hAnsiTheme="minorHAnsi" w:cstheme="minorHAnsi"/>
          <w:bCs/>
          <w:lang w:val="en-AU"/>
        </w:rPr>
        <w:t>/SB</w:t>
      </w:r>
      <w:r w:rsidRPr="008A34F8">
        <w:rPr>
          <w:rFonts w:asciiTheme="minorHAnsi" w:hAnsiTheme="minorHAnsi" w:cstheme="minorHAnsi"/>
          <w:bCs/>
          <w:vertAlign w:val="subscript"/>
          <w:lang w:val="en-AU"/>
        </w:rPr>
        <w:t>F=0</w:t>
      </w:r>
      <w:r w:rsidRPr="008A34F8">
        <w:rPr>
          <w:rFonts w:asciiTheme="minorHAnsi" w:hAnsiTheme="minorHAnsi" w:cstheme="minorHAnsi"/>
          <w:bCs/>
          <w:lang w:val="en-AU"/>
        </w:rPr>
        <w:t xml:space="preserve"> = 0.34) (see SC8-SA-WP-05), noting the differences in the use of the grid in the two assessments and different model assumptions. In the current assessment the feasible grid consisted of 300 models (186 model runs removed from 486 grid models).  </w:t>
      </w:r>
    </w:p>
    <w:p w14:paraId="4B55D35D" w14:textId="77777777" w:rsidR="000A3F2E" w:rsidRPr="008A34F8" w:rsidRDefault="000A3F2E" w:rsidP="00C4277A">
      <w:pPr>
        <w:pStyle w:val="WCPFC"/>
        <w:numPr>
          <w:ilvl w:val="0"/>
          <w:numId w:val="0"/>
        </w:numPr>
        <w:adjustRightInd w:val="0"/>
        <w:spacing w:after="0"/>
        <w:rPr>
          <w:rFonts w:asciiTheme="minorHAnsi" w:hAnsiTheme="minorHAnsi" w:cstheme="minorHAnsi"/>
          <w:bCs/>
          <w:lang w:val="en-AU"/>
        </w:rPr>
      </w:pPr>
    </w:p>
    <w:p w14:paraId="369A72DF" w14:textId="77777777" w:rsidR="000A3F2E" w:rsidRPr="008A34F8" w:rsidRDefault="000A3F2E" w:rsidP="00C4277A">
      <w:pPr>
        <w:pStyle w:val="WCPFC"/>
        <w:adjustRightInd w:val="0"/>
        <w:spacing w:after="0"/>
        <w:ind w:left="0" w:firstLine="0"/>
        <w:rPr>
          <w:rFonts w:asciiTheme="minorHAnsi" w:hAnsiTheme="minorHAnsi" w:cstheme="minorHAnsi"/>
          <w:bCs/>
          <w:lang w:val="en-AU"/>
        </w:rPr>
      </w:pPr>
      <w:r w:rsidRPr="008A34F8">
        <w:rPr>
          <w:rFonts w:asciiTheme="minorHAnsi" w:hAnsiTheme="minorHAnsi" w:cstheme="minorHAnsi"/>
          <w:bCs/>
          <w:lang w:val="en-AU"/>
        </w:rPr>
        <w:t>SC15 noted that the median of recent spawning biomass relative to the spawning biomass at MSY was (SB</w:t>
      </w:r>
      <w:r w:rsidRPr="008A34F8">
        <w:rPr>
          <w:rFonts w:asciiTheme="minorHAnsi" w:hAnsiTheme="minorHAnsi" w:cstheme="minorHAnsi"/>
          <w:bCs/>
          <w:vertAlign w:val="subscript"/>
          <w:lang w:val="en-AU"/>
        </w:rPr>
        <w:t>recent</w:t>
      </w:r>
      <w:r w:rsidRPr="008A34F8">
        <w:rPr>
          <w:rFonts w:asciiTheme="minorHAnsi" w:hAnsiTheme="minorHAnsi" w:cstheme="minorHAnsi"/>
          <w:bCs/>
          <w:lang w:val="en-AU"/>
        </w:rPr>
        <w:t>/SB</w:t>
      </w:r>
      <w:r w:rsidRPr="008A34F8">
        <w:rPr>
          <w:rFonts w:asciiTheme="minorHAnsi" w:hAnsiTheme="minorHAnsi" w:cstheme="minorHAnsi"/>
          <w:bCs/>
          <w:vertAlign w:val="subscript"/>
          <w:lang w:val="en-AU"/>
        </w:rPr>
        <w:t>MSY</w:t>
      </w:r>
      <w:r w:rsidRPr="008A34F8">
        <w:rPr>
          <w:rFonts w:asciiTheme="minorHAnsi" w:hAnsiTheme="minorHAnsi" w:cstheme="minorHAnsi"/>
          <w:bCs/>
          <w:lang w:val="en-AU"/>
        </w:rPr>
        <w:t xml:space="preserve">) = </w:t>
      </w:r>
      <w:r w:rsidRPr="008A34F8">
        <w:rPr>
          <w:rFonts w:asciiTheme="minorHAnsi" w:hAnsiTheme="minorHAnsi" w:cstheme="minorHAnsi"/>
          <w:lang w:val="en-AU"/>
        </w:rPr>
        <w:t xml:space="preserve">0.737 </w:t>
      </w:r>
      <w:r w:rsidRPr="008A34F8">
        <w:rPr>
          <w:rFonts w:asciiTheme="minorHAnsi" w:hAnsiTheme="minorHAnsi" w:cstheme="minorHAnsi"/>
          <w:bCs/>
          <w:lang w:val="en-AU"/>
        </w:rPr>
        <w:t xml:space="preserve">with a probable range of </w:t>
      </w:r>
      <w:r w:rsidRPr="008A34F8">
        <w:rPr>
          <w:rFonts w:asciiTheme="minorHAnsi" w:hAnsiTheme="minorHAnsi" w:cstheme="minorHAnsi"/>
          <w:lang w:val="en-AU"/>
        </w:rPr>
        <w:t>0.334</w:t>
      </w:r>
      <w:r w:rsidRPr="008A34F8">
        <w:rPr>
          <w:rFonts w:asciiTheme="minorHAnsi" w:hAnsiTheme="minorHAnsi" w:cstheme="minorHAnsi"/>
          <w:bCs/>
          <w:lang w:val="en-AU"/>
        </w:rPr>
        <w:t xml:space="preserve"> to </w:t>
      </w:r>
      <w:r w:rsidRPr="008A34F8">
        <w:rPr>
          <w:rFonts w:asciiTheme="minorHAnsi" w:hAnsiTheme="minorHAnsi" w:cstheme="minorHAnsi"/>
          <w:lang w:val="en-AU"/>
        </w:rPr>
        <w:t>1.635</w:t>
      </w:r>
      <w:r w:rsidRPr="008A34F8">
        <w:rPr>
          <w:rFonts w:asciiTheme="minorHAnsi" w:hAnsiTheme="minorHAnsi" w:cstheme="minorHAnsi"/>
          <w:bCs/>
          <w:lang w:val="en-AU"/>
        </w:rPr>
        <w:t xml:space="preserve"> (80% probable range), and there was a roughly 68.66% probability (206 out of 300 models) that the recent spawning biomass depletion was below the spawning biomass at MSY. The median estimate (0.737) is</w:t>
      </w:r>
      <w:r w:rsidRPr="008A34F8">
        <w:rPr>
          <w:rFonts w:asciiTheme="minorHAnsi" w:eastAsia="Malgun Gothic" w:hAnsiTheme="minorHAnsi" w:cstheme="minorHAnsi"/>
          <w:bCs/>
          <w:lang w:val="en-AU"/>
        </w:rPr>
        <w:t xml:space="preserve">　</w:t>
      </w:r>
      <w:r w:rsidRPr="008A34F8">
        <w:rPr>
          <w:rFonts w:asciiTheme="minorHAnsi" w:hAnsiTheme="minorHAnsi" w:cstheme="minorHAnsi"/>
          <w:bCs/>
          <w:lang w:val="en-AU"/>
        </w:rPr>
        <w:t>below that estimated from the previous (2012) assessment (SB</w:t>
      </w:r>
      <w:r w:rsidRPr="008A34F8">
        <w:rPr>
          <w:rFonts w:asciiTheme="minorHAnsi" w:hAnsiTheme="minorHAnsi" w:cstheme="minorHAnsi"/>
          <w:bCs/>
          <w:vertAlign w:val="subscript"/>
          <w:lang w:val="en-AU"/>
        </w:rPr>
        <w:t>current</w:t>
      </w:r>
      <w:r w:rsidRPr="008A34F8">
        <w:rPr>
          <w:rFonts w:asciiTheme="minorHAnsi" w:hAnsiTheme="minorHAnsi" w:cstheme="minorHAnsi"/>
          <w:bCs/>
          <w:lang w:val="en-AU"/>
        </w:rPr>
        <w:t>/SB</w:t>
      </w:r>
      <w:r w:rsidRPr="008A34F8">
        <w:rPr>
          <w:rFonts w:asciiTheme="minorHAnsi" w:hAnsiTheme="minorHAnsi" w:cstheme="minorHAnsi"/>
          <w:bCs/>
          <w:vertAlign w:val="subscript"/>
          <w:lang w:val="en-AU"/>
        </w:rPr>
        <w:t>MSY</w:t>
      </w:r>
      <w:r w:rsidRPr="008A34F8">
        <w:rPr>
          <w:rFonts w:asciiTheme="minorHAnsi" w:hAnsiTheme="minorHAnsi" w:cstheme="minorHAnsi"/>
          <w:bCs/>
          <w:lang w:val="en-AU"/>
        </w:rPr>
        <w:t xml:space="preserve"> = 0.87) (see SC8-SA-WP-05), noting the differences between the two assessments. </w:t>
      </w:r>
    </w:p>
    <w:p w14:paraId="5E35B7EA" w14:textId="77777777" w:rsidR="000A3F2E" w:rsidRPr="008A34F8" w:rsidRDefault="000A3F2E" w:rsidP="00C4277A">
      <w:pPr>
        <w:autoSpaceDE w:val="0"/>
        <w:autoSpaceDN w:val="0"/>
        <w:adjustRightInd w:val="0"/>
        <w:snapToGrid w:val="0"/>
        <w:spacing w:after="0" w:line="240" w:lineRule="auto"/>
        <w:jc w:val="both"/>
        <w:rPr>
          <w:rFonts w:cstheme="minorHAnsi"/>
          <w:lang w:val="en-AU"/>
        </w:rPr>
      </w:pPr>
      <w:r w:rsidRPr="008A34F8" w:rsidDel="0056747C">
        <w:rPr>
          <w:rFonts w:cstheme="minorHAnsi"/>
          <w:bCs/>
          <w:lang w:val="en-AU" w:eastAsia="en-NZ"/>
        </w:rPr>
        <w:t xml:space="preserve"> </w:t>
      </w:r>
    </w:p>
    <w:p w14:paraId="4DDD8338" w14:textId="77777777" w:rsidR="000A3F2E" w:rsidRPr="008A34F8" w:rsidRDefault="000A3F2E" w:rsidP="00C4277A">
      <w:pPr>
        <w:pStyle w:val="WCPFC"/>
        <w:adjustRightInd w:val="0"/>
        <w:spacing w:after="0"/>
        <w:ind w:left="0" w:firstLine="0"/>
        <w:rPr>
          <w:rFonts w:asciiTheme="minorHAnsi" w:hAnsiTheme="minorHAnsi" w:cstheme="minorHAnsi"/>
          <w:bCs/>
          <w:lang w:val="en-AU"/>
        </w:rPr>
      </w:pPr>
      <w:r w:rsidRPr="008A34F8">
        <w:rPr>
          <w:rFonts w:asciiTheme="minorHAnsi" w:hAnsiTheme="minorHAnsi" w:cstheme="minorHAnsi"/>
          <w:lang w:val="en-AU"/>
        </w:rPr>
        <w:t>SC15 noted that the median of relative recent fishing mortality was (F</w:t>
      </w:r>
      <w:r w:rsidRPr="008A34F8">
        <w:rPr>
          <w:rFonts w:asciiTheme="minorHAnsi" w:hAnsiTheme="minorHAnsi" w:cstheme="minorHAnsi"/>
          <w:vertAlign w:val="subscript"/>
          <w:lang w:val="en-AU"/>
        </w:rPr>
        <w:t>recent</w:t>
      </w:r>
      <w:r w:rsidRPr="008A34F8">
        <w:rPr>
          <w:rFonts w:asciiTheme="minorHAnsi" w:hAnsiTheme="minorHAnsi" w:cstheme="minorHAnsi"/>
          <w:lang w:val="en-AU"/>
        </w:rPr>
        <w:t>/F</w:t>
      </w:r>
      <w:r w:rsidRPr="008A34F8">
        <w:rPr>
          <w:rFonts w:asciiTheme="minorHAnsi" w:hAnsiTheme="minorHAnsi" w:cstheme="minorHAnsi"/>
          <w:vertAlign w:val="subscript"/>
          <w:lang w:val="en-AU" w:eastAsia="ko-KR"/>
        </w:rPr>
        <w:t>MSY</w:t>
      </w:r>
      <w:r w:rsidRPr="008A34F8">
        <w:rPr>
          <w:rFonts w:asciiTheme="minorHAnsi" w:hAnsiTheme="minorHAnsi" w:cstheme="minorHAnsi"/>
          <w:lang w:val="en-AU"/>
        </w:rPr>
        <w:t xml:space="preserve"> = 0.911) with an 80% probability interval of 0.313 to 1.891, and there was a roughly 44.3% probability (133 out of 300 models) that the recent fishing mortality was above F</w:t>
      </w:r>
      <w:r w:rsidRPr="008A34F8">
        <w:rPr>
          <w:rFonts w:asciiTheme="minorHAnsi" w:hAnsiTheme="minorHAnsi" w:cstheme="minorHAnsi"/>
          <w:vertAlign w:val="subscript"/>
          <w:lang w:val="en-AU" w:eastAsia="ko-KR"/>
        </w:rPr>
        <w:t>MSY</w:t>
      </w:r>
      <w:r w:rsidRPr="008A34F8">
        <w:rPr>
          <w:rFonts w:asciiTheme="minorHAnsi" w:hAnsiTheme="minorHAnsi" w:cstheme="minorHAnsi"/>
          <w:lang w:val="en-AU"/>
        </w:rPr>
        <w:t>. The median estimate (0.911) is above that estimated from the previous assessment (F</w:t>
      </w:r>
      <w:r w:rsidRPr="008A34F8">
        <w:rPr>
          <w:rFonts w:asciiTheme="minorHAnsi" w:hAnsiTheme="minorHAnsi" w:cstheme="minorHAnsi"/>
          <w:vertAlign w:val="subscript"/>
          <w:lang w:val="en-AU"/>
        </w:rPr>
        <w:t>current</w:t>
      </w:r>
      <w:r w:rsidRPr="008A34F8">
        <w:rPr>
          <w:rFonts w:asciiTheme="minorHAnsi" w:hAnsiTheme="minorHAnsi" w:cstheme="minorHAnsi"/>
          <w:lang w:val="en-AU"/>
        </w:rPr>
        <w:t>/F</w:t>
      </w:r>
      <w:r w:rsidRPr="008A34F8">
        <w:rPr>
          <w:rFonts w:asciiTheme="minorHAnsi" w:hAnsiTheme="minorHAnsi" w:cstheme="minorHAnsi"/>
          <w:vertAlign w:val="subscript"/>
          <w:lang w:val="en-AU" w:eastAsia="ko-KR"/>
        </w:rPr>
        <w:t>MSY</w:t>
      </w:r>
      <w:r w:rsidRPr="008A34F8">
        <w:rPr>
          <w:rFonts w:asciiTheme="minorHAnsi" w:hAnsiTheme="minorHAnsi" w:cstheme="minorHAnsi"/>
          <w:lang w:val="en-AU"/>
        </w:rPr>
        <w:t xml:space="preserve"> = 0.81) (see </w:t>
      </w:r>
      <w:r w:rsidRPr="008A34F8">
        <w:rPr>
          <w:rFonts w:asciiTheme="minorHAnsi" w:hAnsiTheme="minorHAnsi" w:cstheme="minorHAnsi"/>
          <w:bCs/>
          <w:lang w:val="en-AU"/>
        </w:rPr>
        <w:t>SC8-SA-WP-05</w:t>
      </w:r>
      <w:r w:rsidRPr="008A34F8">
        <w:rPr>
          <w:rFonts w:asciiTheme="minorHAnsi" w:hAnsiTheme="minorHAnsi" w:cstheme="minorHAnsi"/>
          <w:lang w:val="en-AU"/>
        </w:rPr>
        <w:t xml:space="preserve">), </w:t>
      </w:r>
      <w:r w:rsidRPr="008A34F8">
        <w:rPr>
          <w:rFonts w:asciiTheme="minorHAnsi" w:hAnsiTheme="minorHAnsi" w:cstheme="minorHAnsi"/>
          <w:bCs/>
          <w:lang w:val="en-AU"/>
        </w:rPr>
        <w:t xml:space="preserve">noting the differences in the use of the grid in the two assessments. </w:t>
      </w:r>
    </w:p>
    <w:p w14:paraId="45FFD4CF" w14:textId="77777777" w:rsidR="000A3F2E" w:rsidRPr="008A34F8" w:rsidRDefault="000A3F2E" w:rsidP="000A3F2E">
      <w:pPr>
        <w:pStyle w:val="ListParagraph"/>
        <w:adjustRightInd w:val="0"/>
        <w:snapToGrid w:val="0"/>
        <w:contextualSpacing w:val="0"/>
        <w:rPr>
          <w:rFonts w:asciiTheme="minorHAnsi" w:hAnsiTheme="minorHAnsi" w:cstheme="minorHAnsi"/>
          <w:b/>
          <w:lang w:val="en-AU"/>
        </w:rPr>
      </w:pPr>
    </w:p>
    <w:p w14:paraId="0293DE66" w14:textId="77777777" w:rsidR="000A3F2E" w:rsidRPr="008A34F8" w:rsidRDefault="000A3F2E" w:rsidP="000A3F2E">
      <w:pPr>
        <w:adjustRightInd w:val="0"/>
        <w:snapToGrid w:val="0"/>
        <w:spacing w:after="0" w:line="240" w:lineRule="auto"/>
        <w:jc w:val="both"/>
        <w:rPr>
          <w:rFonts w:cstheme="minorHAnsi"/>
        </w:rPr>
      </w:pPr>
      <w:r w:rsidRPr="008A34F8">
        <w:rPr>
          <w:rFonts w:cstheme="minorHAnsi"/>
          <w:b/>
        </w:rPr>
        <w:t xml:space="preserve">Table </w:t>
      </w:r>
      <w:r w:rsidRPr="008A34F8">
        <w:rPr>
          <w:rFonts w:cstheme="minorHAnsi"/>
          <w:b/>
          <w:iCs/>
        </w:rPr>
        <w:t>SMLS-0</w:t>
      </w:r>
      <w:r w:rsidRPr="008A34F8">
        <w:rPr>
          <w:rFonts w:cstheme="minorHAnsi"/>
          <w:b/>
          <w:iCs/>
        </w:rPr>
        <w:fldChar w:fldCharType="begin"/>
      </w:r>
      <w:r w:rsidRPr="008A34F8">
        <w:rPr>
          <w:rFonts w:cstheme="minorHAnsi"/>
          <w:b/>
          <w:iCs/>
        </w:rPr>
        <w:instrText xml:space="preserve"> SEQ Figure \* ARABIC </w:instrText>
      </w:r>
      <w:r w:rsidRPr="008A34F8">
        <w:rPr>
          <w:rFonts w:cstheme="minorHAnsi"/>
          <w:b/>
          <w:iCs/>
        </w:rPr>
        <w:fldChar w:fldCharType="separate"/>
      </w:r>
      <w:r w:rsidRPr="008A34F8">
        <w:rPr>
          <w:rFonts w:cstheme="minorHAnsi"/>
          <w:b/>
          <w:iCs/>
          <w:noProof/>
        </w:rPr>
        <w:t>1</w:t>
      </w:r>
      <w:r w:rsidRPr="008A34F8">
        <w:rPr>
          <w:rFonts w:cstheme="minorHAnsi"/>
          <w:b/>
          <w:iCs/>
        </w:rPr>
        <w:fldChar w:fldCharType="end"/>
      </w:r>
      <w:r w:rsidRPr="008A34F8">
        <w:rPr>
          <w:rFonts w:cstheme="minorHAnsi"/>
          <w:b/>
        </w:rPr>
        <w:t>.</w:t>
      </w:r>
      <w:r w:rsidRPr="008A34F8">
        <w:rPr>
          <w:rFonts w:cstheme="minorHAnsi"/>
        </w:rPr>
        <w:t xml:space="preserve"> Description of the structural sensitivity grid used to characterize uncertainty in the assessment. The star denotes the level assumed in the diagnostic case.</w:t>
      </w:r>
    </w:p>
    <w:p w14:paraId="7DC79052" w14:textId="77777777" w:rsidR="000A3F2E" w:rsidRPr="008A34F8" w:rsidRDefault="000A3F2E" w:rsidP="000A3F2E">
      <w:pPr>
        <w:adjustRightInd w:val="0"/>
        <w:snapToGrid w:val="0"/>
        <w:spacing w:after="0" w:line="240" w:lineRule="auto"/>
        <w:jc w:val="center"/>
        <w:rPr>
          <w:rFonts w:cstheme="minorHAnsi"/>
        </w:rPr>
      </w:pPr>
      <w:r w:rsidRPr="008A34F8">
        <w:rPr>
          <w:rFonts w:cstheme="minorHAnsi"/>
          <w:noProof/>
          <w:lang w:eastAsia="zh-CN" w:bidi="mn-Mong-CN"/>
        </w:rPr>
        <w:drawing>
          <wp:inline distT="0" distB="0" distL="0" distR="0" wp14:anchorId="22719C25" wp14:editId="33E31A36">
            <wp:extent cx="5724525" cy="1276350"/>
            <wp:effectExtent l="0" t="0" r="9525" b="0"/>
            <wp:docPr id="158800" name="図 10" descr="tbl.grid.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l.grid.descrip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4525" cy="1276350"/>
                    </a:xfrm>
                    <a:prstGeom prst="rect">
                      <a:avLst/>
                    </a:prstGeom>
                    <a:noFill/>
                    <a:ln>
                      <a:noFill/>
                    </a:ln>
                  </pic:spPr>
                </pic:pic>
              </a:graphicData>
            </a:graphic>
          </wp:inline>
        </w:drawing>
      </w:r>
    </w:p>
    <w:p w14:paraId="6BF88C81" w14:textId="77777777" w:rsidR="000A3F2E" w:rsidRPr="008A34F8" w:rsidRDefault="000A3F2E" w:rsidP="000A3F2E">
      <w:pPr>
        <w:adjustRightInd w:val="0"/>
        <w:snapToGrid w:val="0"/>
        <w:spacing w:after="0" w:line="240" w:lineRule="auto"/>
        <w:rPr>
          <w:rFonts w:cstheme="minorHAnsi"/>
          <w:b/>
        </w:rPr>
      </w:pPr>
    </w:p>
    <w:p w14:paraId="3933253A" w14:textId="77777777" w:rsidR="000A3F2E" w:rsidRPr="008A34F8" w:rsidRDefault="000A3F2E" w:rsidP="000A3F2E">
      <w:pPr>
        <w:adjustRightInd w:val="0"/>
        <w:snapToGrid w:val="0"/>
        <w:spacing w:after="0" w:line="240" w:lineRule="auto"/>
        <w:rPr>
          <w:rFonts w:cstheme="minorHAnsi"/>
          <w:i/>
        </w:rPr>
      </w:pPr>
      <w:r w:rsidRPr="008A34F8">
        <w:rPr>
          <w:rFonts w:cstheme="minorHAnsi"/>
          <w:b/>
        </w:rPr>
        <w:t xml:space="preserve">Table </w:t>
      </w:r>
      <w:r w:rsidRPr="008A34F8">
        <w:rPr>
          <w:rFonts w:cstheme="minorHAnsi"/>
          <w:b/>
          <w:iCs/>
        </w:rPr>
        <w:t>SMLS-02</w:t>
      </w:r>
      <w:r w:rsidRPr="008A34F8">
        <w:rPr>
          <w:rFonts w:cstheme="minorHAnsi"/>
          <w:b/>
        </w:rPr>
        <w:t>.</w:t>
      </w:r>
      <w:r w:rsidRPr="008A34F8">
        <w:rPr>
          <w:rFonts w:cstheme="minorHAnsi"/>
        </w:rPr>
        <w:t xml:space="preserve"> Summary reference points over the models in the structural uncertainty grid.</w:t>
      </w:r>
    </w:p>
    <w:p w14:paraId="7A27FF5A" w14:textId="77777777" w:rsidR="000A3F2E" w:rsidRPr="008A34F8" w:rsidRDefault="000A3F2E" w:rsidP="000A3F2E">
      <w:pPr>
        <w:keepNext/>
        <w:adjustRightInd w:val="0"/>
        <w:snapToGrid w:val="0"/>
        <w:spacing w:after="0" w:line="240" w:lineRule="auto"/>
        <w:jc w:val="center"/>
        <w:rPr>
          <w:rFonts w:cstheme="minorHAnsi"/>
        </w:rPr>
      </w:pPr>
      <w:r w:rsidRPr="008A34F8">
        <w:rPr>
          <w:rFonts w:cstheme="minorHAnsi"/>
          <w:noProof/>
          <w:lang w:eastAsia="zh-CN" w:bidi="mn-Mong-CN"/>
        </w:rPr>
        <w:lastRenderedPageBreak/>
        <w:drawing>
          <wp:inline distT="0" distB="0" distL="0" distR="0" wp14:anchorId="7A1874DA" wp14:editId="1747CEA7">
            <wp:extent cx="4438650" cy="3087114"/>
            <wp:effectExtent l="0" t="0" r="0" b="0"/>
            <wp:docPr id="158801" name="図 9" descr="tbl.grid.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bl.grid.resul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1113" cy="3088827"/>
                    </a:xfrm>
                    <a:prstGeom prst="rect">
                      <a:avLst/>
                    </a:prstGeom>
                    <a:noFill/>
                    <a:ln>
                      <a:noFill/>
                    </a:ln>
                  </pic:spPr>
                </pic:pic>
              </a:graphicData>
            </a:graphic>
          </wp:inline>
        </w:drawing>
      </w:r>
    </w:p>
    <w:p w14:paraId="6B7C255D" w14:textId="30D7538B" w:rsidR="000A3F2E" w:rsidRPr="008A34F8" w:rsidRDefault="000A3F2E" w:rsidP="000A3F2E">
      <w:pPr>
        <w:pStyle w:val="Caption"/>
        <w:adjustRightInd w:val="0"/>
        <w:snapToGrid w:val="0"/>
        <w:spacing w:after="0"/>
        <w:rPr>
          <w:rFonts w:cstheme="minorHAnsi"/>
          <w:b/>
          <w:bCs/>
          <w:iCs w:val="0"/>
          <w:szCs w:val="22"/>
        </w:rPr>
      </w:pPr>
    </w:p>
    <w:p w14:paraId="4FACCB98" w14:textId="330B66BA" w:rsidR="00C4277A" w:rsidRPr="008A34F8" w:rsidRDefault="00C4277A" w:rsidP="00C4277A">
      <w:pPr>
        <w:rPr>
          <w:rFonts w:cstheme="minorHAnsi"/>
        </w:rPr>
      </w:pPr>
    </w:p>
    <w:p w14:paraId="5770C59C" w14:textId="77777777" w:rsidR="00C4277A" w:rsidRPr="008A34F8" w:rsidRDefault="00C4277A" w:rsidP="00C4277A">
      <w:pPr>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71"/>
      </w:tblGrid>
      <w:tr w:rsidR="000A3F2E" w:rsidRPr="008A34F8" w14:paraId="6BDD49C3" w14:textId="77777777" w:rsidTr="00C4277A">
        <w:tc>
          <w:tcPr>
            <w:tcW w:w="4589" w:type="dxa"/>
          </w:tcPr>
          <w:p w14:paraId="14B262CA" w14:textId="77777777" w:rsidR="000A3F2E" w:rsidRPr="008A34F8" w:rsidRDefault="000A3F2E" w:rsidP="000A3F2E">
            <w:pPr>
              <w:adjustRightInd w:val="0"/>
              <w:snapToGrid w:val="0"/>
              <w:rPr>
                <w:rFonts w:cstheme="minorHAnsi"/>
              </w:rPr>
            </w:pPr>
            <w:r w:rsidRPr="008A34F8">
              <w:rPr>
                <w:rFonts w:cstheme="minorHAnsi"/>
                <w:i/>
                <w:noProof/>
                <w:lang w:eastAsia="zh-CN" w:bidi="mn-Mong-CN"/>
              </w:rPr>
              <w:drawing>
                <wp:inline distT="0" distB="0" distL="0" distR="0" wp14:anchorId="38CF8F18" wp14:editId="61E5B51D">
                  <wp:extent cx="2820612" cy="2382591"/>
                  <wp:effectExtent l="0" t="0" r="0" b="0"/>
                  <wp:docPr id="158802" name="図 8" descr="stm.spatial.structur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m.spatial.structures.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8165" cy="2397418"/>
                          </a:xfrm>
                          <a:prstGeom prst="rect">
                            <a:avLst/>
                          </a:prstGeom>
                          <a:noFill/>
                          <a:ln>
                            <a:noFill/>
                          </a:ln>
                        </pic:spPr>
                      </pic:pic>
                    </a:graphicData>
                  </a:graphic>
                </wp:inline>
              </w:drawing>
            </w:r>
          </w:p>
        </w:tc>
        <w:tc>
          <w:tcPr>
            <w:tcW w:w="4771" w:type="dxa"/>
          </w:tcPr>
          <w:p w14:paraId="1A84988E" w14:textId="77777777" w:rsidR="000A3F2E" w:rsidRPr="008A34F8" w:rsidRDefault="000A3F2E" w:rsidP="000A3F2E">
            <w:pPr>
              <w:adjustRightInd w:val="0"/>
              <w:snapToGrid w:val="0"/>
              <w:rPr>
                <w:rFonts w:cstheme="minorHAnsi"/>
              </w:rPr>
            </w:pPr>
            <w:r w:rsidRPr="008A34F8">
              <w:rPr>
                <w:rFonts w:cstheme="minorHAnsi"/>
                <w:noProof/>
                <w:lang w:eastAsia="zh-CN" w:bidi="mn-Mong-CN"/>
              </w:rPr>
              <w:drawing>
                <wp:inline distT="0" distB="0" distL="0" distR="0" wp14:anchorId="6AF94074" wp14:editId="528473E1">
                  <wp:extent cx="2937437" cy="2382520"/>
                  <wp:effectExtent l="0" t="0" r="0" b="0"/>
                  <wp:docPr id="158803" name="図 7" descr="tot.catch.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t.catch.m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8813" cy="2399858"/>
                          </a:xfrm>
                          <a:prstGeom prst="rect">
                            <a:avLst/>
                          </a:prstGeom>
                          <a:noFill/>
                          <a:ln>
                            <a:noFill/>
                          </a:ln>
                        </pic:spPr>
                      </pic:pic>
                    </a:graphicData>
                  </a:graphic>
                </wp:inline>
              </w:drawing>
            </w:r>
          </w:p>
        </w:tc>
      </w:tr>
      <w:tr w:rsidR="000A3F2E" w:rsidRPr="008A34F8" w14:paraId="7EE98838" w14:textId="77777777" w:rsidTr="00C4277A">
        <w:tc>
          <w:tcPr>
            <w:tcW w:w="4589" w:type="dxa"/>
          </w:tcPr>
          <w:p w14:paraId="2363B74D" w14:textId="77777777" w:rsidR="000A3F2E" w:rsidRPr="008A34F8" w:rsidRDefault="000A3F2E" w:rsidP="000A3F2E">
            <w:pPr>
              <w:adjustRightInd w:val="0"/>
              <w:snapToGrid w:val="0"/>
              <w:jc w:val="both"/>
              <w:rPr>
                <w:rFonts w:cstheme="minorHAnsi"/>
                <w:sz w:val="20"/>
                <w:szCs w:val="20"/>
              </w:rPr>
            </w:pPr>
            <w:r w:rsidRPr="008A34F8">
              <w:rPr>
                <w:rFonts w:cstheme="minorHAnsi"/>
                <w:b/>
                <w:sz w:val="20"/>
                <w:szCs w:val="20"/>
              </w:rPr>
              <w:t>Figure SMLS-01</w:t>
            </w:r>
            <w:r w:rsidRPr="008A34F8">
              <w:rPr>
                <w:rFonts w:cstheme="minorHAnsi"/>
                <w:sz w:val="20"/>
                <w:szCs w:val="20"/>
              </w:rPr>
              <w:t>. Single region spatial structure used in the 2019 stock assessment.</w:t>
            </w:r>
          </w:p>
        </w:tc>
        <w:tc>
          <w:tcPr>
            <w:tcW w:w="4771" w:type="dxa"/>
          </w:tcPr>
          <w:p w14:paraId="437BC962" w14:textId="77777777" w:rsidR="000A3F2E" w:rsidRPr="008A34F8" w:rsidRDefault="000A3F2E" w:rsidP="000A3F2E">
            <w:pPr>
              <w:pStyle w:val="Caption"/>
              <w:adjustRightInd w:val="0"/>
              <w:snapToGrid w:val="0"/>
              <w:spacing w:after="0"/>
              <w:jc w:val="both"/>
              <w:rPr>
                <w:rFonts w:cstheme="minorHAnsi"/>
                <w:b/>
                <w:bCs/>
                <w:i w:val="0"/>
                <w:iCs w:val="0"/>
                <w:sz w:val="20"/>
              </w:rPr>
            </w:pPr>
            <w:r w:rsidRPr="008A34F8">
              <w:rPr>
                <w:rFonts w:cstheme="minorHAnsi"/>
                <w:b/>
                <w:i w:val="0"/>
                <w:iCs w:val="0"/>
                <w:sz w:val="20"/>
              </w:rPr>
              <w:t>Figure SMLS-02.</w:t>
            </w:r>
            <w:r w:rsidRPr="008A34F8">
              <w:rPr>
                <w:rFonts w:cstheme="minorHAnsi"/>
                <w:bCs/>
                <w:i w:val="0"/>
                <w:iCs w:val="0"/>
                <w:sz w:val="20"/>
              </w:rPr>
              <w:t xml:space="preserve"> Time series of total annual catch (1000s mt) by fishery group over the full assessment period.</w:t>
            </w:r>
          </w:p>
        </w:tc>
      </w:tr>
      <w:tr w:rsidR="000A3F2E" w:rsidRPr="008A34F8" w14:paraId="1C11A638" w14:textId="77777777" w:rsidTr="00C4277A">
        <w:tc>
          <w:tcPr>
            <w:tcW w:w="4589" w:type="dxa"/>
            <w:vAlign w:val="center"/>
          </w:tcPr>
          <w:p w14:paraId="601BC174" w14:textId="77777777" w:rsidR="000A3F2E" w:rsidRPr="008A34F8" w:rsidRDefault="000A3F2E" w:rsidP="000A3F2E">
            <w:pPr>
              <w:adjustRightInd w:val="0"/>
              <w:snapToGrid w:val="0"/>
              <w:jc w:val="center"/>
              <w:rPr>
                <w:rFonts w:cstheme="minorHAnsi"/>
                <w:sz w:val="20"/>
                <w:szCs w:val="20"/>
              </w:rPr>
            </w:pPr>
            <w:r w:rsidRPr="008A34F8">
              <w:rPr>
                <w:rFonts w:cstheme="minorHAnsi"/>
                <w:noProof/>
                <w:sz w:val="20"/>
                <w:szCs w:val="20"/>
                <w:lang w:eastAsia="zh-CN" w:bidi="mn-Mong-CN"/>
              </w:rPr>
              <w:lastRenderedPageBreak/>
              <w:drawing>
                <wp:inline distT="0" distB="0" distL="0" distR="0" wp14:anchorId="371C18E4" wp14:editId="4BF3AA62">
                  <wp:extent cx="2699634" cy="3683725"/>
                  <wp:effectExtent l="0" t="0" r="5715" b="0"/>
                  <wp:docPr id="158804" name="図 6" descr="diag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 result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4219" cy="3730917"/>
                          </a:xfrm>
                          <a:prstGeom prst="rect">
                            <a:avLst/>
                          </a:prstGeom>
                          <a:noFill/>
                          <a:ln>
                            <a:noFill/>
                          </a:ln>
                        </pic:spPr>
                      </pic:pic>
                    </a:graphicData>
                  </a:graphic>
                </wp:inline>
              </w:drawing>
            </w:r>
          </w:p>
        </w:tc>
        <w:tc>
          <w:tcPr>
            <w:tcW w:w="4771" w:type="dxa"/>
            <w:vAlign w:val="bottom"/>
          </w:tcPr>
          <w:p w14:paraId="23D97BC0" w14:textId="77777777" w:rsidR="000A3F2E" w:rsidRPr="008A34F8" w:rsidRDefault="000A3F2E" w:rsidP="000A3F2E">
            <w:pPr>
              <w:keepNext/>
              <w:adjustRightInd w:val="0"/>
              <w:snapToGrid w:val="0"/>
              <w:jc w:val="both"/>
              <w:rPr>
                <w:rFonts w:cstheme="minorHAnsi"/>
                <w:b/>
                <w:sz w:val="20"/>
                <w:szCs w:val="20"/>
              </w:rPr>
            </w:pPr>
            <w:r w:rsidRPr="008A34F8">
              <w:rPr>
                <w:rFonts w:cstheme="minorHAnsi"/>
                <w:b/>
                <w:sz w:val="20"/>
                <w:szCs w:val="20"/>
              </w:rPr>
              <w:t>Figure SMLS</w:t>
            </w:r>
            <w:r w:rsidRPr="008A34F8">
              <w:rPr>
                <w:rFonts w:eastAsiaTheme="minorEastAsia" w:cstheme="minorHAnsi"/>
                <w:b/>
                <w:sz w:val="20"/>
                <w:szCs w:val="20"/>
              </w:rPr>
              <w:t>-0</w:t>
            </w:r>
            <w:r w:rsidRPr="008A34F8">
              <w:rPr>
                <w:rFonts w:cstheme="minorHAnsi"/>
                <w:b/>
                <w:sz w:val="20"/>
                <w:szCs w:val="20"/>
              </w:rPr>
              <w:t>3</w:t>
            </w:r>
            <w:r w:rsidRPr="008A34F8">
              <w:rPr>
                <w:rFonts w:cstheme="minorHAnsi"/>
                <w:b/>
                <w:i/>
                <w:sz w:val="20"/>
                <w:szCs w:val="20"/>
              </w:rPr>
              <w:t>.</w:t>
            </w:r>
            <w:r w:rsidRPr="008A34F8">
              <w:rPr>
                <w:rFonts w:cstheme="minorHAnsi"/>
                <w:sz w:val="20"/>
                <w:szCs w:val="20"/>
              </w:rPr>
              <w:t xml:space="preserve"> Estimated annual average total biomass, spawning biomass, and recruitment for the diagnostic model. Shaded region gives ± 2 standard deviations (i.e., 95% CI).</w:t>
            </w:r>
          </w:p>
          <w:p w14:paraId="696D2AD9" w14:textId="77777777" w:rsidR="000A3F2E" w:rsidRPr="008A34F8" w:rsidRDefault="000A3F2E" w:rsidP="000A3F2E">
            <w:pPr>
              <w:pStyle w:val="Caption"/>
              <w:adjustRightInd w:val="0"/>
              <w:snapToGrid w:val="0"/>
              <w:spacing w:after="0"/>
              <w:jc w:val="both"/>
              <w:rPr>
                <w:rFonts w:cstheme="minorHAnsi"/>
                <w:b/>
                <w:bCs/>
                <w:sz w:val="20"/>
              </w:rPr>
            </w:pPr>
          </w:p>
        </w:tc>
      </w:tr>
    </w:tbl>
    <w:p w14:paraId="70F9B23B" w14:textId="36377C77" w:rsidR="00C4277A" w:rsidRPr="008A34F8" w:rsidRDefault="00C4277A">
      <w:pPr>
        <w:rPr>
          <w:rFonts w:cstheme="minorHAnsi"/>
        </w:rPr>
      </w:pPr>
    </w:p>
    <w:p w14:paraId="09AEC4F7" w14:textId="77777777" w:rsidR="00C4277A" w:rsidRPr="008A34F8" w:rsidRDefault="00C4277A">
      <w:pPr>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71"/>
      </w:tblGrid>
      <w:tr w:rsidR="000A3F2E" w:rsidRPr="008A34F8" w14:paraId="19DEEE0B" w14:textId="77777777" w:rsidTr="00C4277A">
        <w:trPr>
          <w:trHeight w:val="3113"/>
        </w:trPr>
        <w:tc>
          <w:tcPr>
            <w:tcW w:w="4589" w:type="dxa"/>
            <w:vAlign w:val="bottom"/>
          </w:tcPr>
          <w:p w14:paraId="6C226E95" w14:textId="77777777" w:rsidR="000A3F2E" w:rsidRPr="008A34F8" w:rsidRDefault="000A3F2E" w:rsidP="000A3F2E">
            <w:pPr>
              <w:adjustRightInd w:val="0"/>
              <w:snapToGrid w:val="0"/>
              <w:jc w:val="center"/>
              <w:rPr>
                <w:rFonts w:cstheme="minorHAnsi"/>
                <w:noProof/>
                <w:sz w:val="20"/>
                <w:szCs w:val="20"/>
                <w:lang w:eastAsia="zh-CN" w:bidi="mn-Mong-CN"/>
              </w:rPr>
            </w:pPr>
            <w:r w:rsidRPr="008A34F8">
              <w:rPr>
                <w:rFonts w:cstheme="minorHAnsi"/>
                <w:i/>
                <w:noProof/>
                <w:lang w:eastAsia="zh-CN" w:bidi="mn-Mong-CN"/>
              </w:rPr>
              <w:drawing>
                <wp:inline distT="0" distB="0" distL="0" distR="0" wp14:anchorId="5DDC5D59" wp14:editId="4581257B">
                  <wp:extent cx="2740319" cy="2073499"/>
                  <wp:effectExtent l="0" t="0" r="3175" b="3175"/>
                  <wp:docPr id="158805" name="図 5" descr="juv.adult.F.temp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v.adult.F.tempora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2582" cy="2090345"/>
                          </a:xfrm>
                          <a:prstGeom prst="rect">
                            <a:avLst/>
                          </a:prstGeom>
                          <a:noFill/>
                          <a:ln>
                            <a:noFill/>
                          </a:ln>
                        </pic:spPr>
                      </pic:pic>
                    </a:graphicData>
                  </a:graphic>
                </wp:inline>
              </w:drawing>
            </w:r>
          </w:p>
        </w:tc>
        <w:tc>
          <w:tcPr>
            <w:tcW w:w="4771" w:type="dxa"/>
            <w:vAlign w:val="bottom"/>
          </w:tcPr>
          <w:p w14:paraId="7FF94BD4" w14:textId="77777777" w:rsidR="000A3F2E" w:rsidRPr="008A34F8" w:rsidRDefault="000A3F2E" w:rsidP="000A3F2E">
            <w:pPr>
              <w:keepNext/>
              <w:adjustRightInd w:val="0"/>
              <w:snapToGrid w:val="0"/>
              <w:jc w:val="center"/>
              <w:rPr>
                <w:rFonts w:cstheme="minorHAnsi"/>
                <w:b/>
                <w:sz w:val="20"/>
                <w:szCs w:val="20"/>
              </w:rPr>
            </w:pPr>
            <w:r w:rsidRPr="008A34F8">
              <w:rPr>
                <w:rFonts w:cstheme="minorHAnsi"/>
                <w:noProof/>
                <w:lang w:eastAsia="zh-CN" w:bidi="mn-Mong-CN"/>
              </w:rPr>
              <w:drawing>
                <wp:inline distT="0" distB="0" distL="0" distR="0" wp14:anchorId="1D8A1178" wp14:editId="64703271">
                  <wp:extent cx="2716608" cy="2125014"/>
                  <wp:effectExtent l="0" t="0" r="7620" b="8890"/>
                  <wp:docPr id="158806" name="図 4" descr="fisheries_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sheries_impact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19463" cy="2127247"/>
                          </a:xfrm>
                          <a:prstGeom prst="rect">
                            <a:avLst/>
                          </a:prstGeom>
                          <a:noFill/>
                          <a:ln>
                            <a:noFill/>
                          </a:ln>
                        </pic:spPr>
                      </pic:pic>
                    </a:graphicData>
                  </a:graphic>
                </wp:inline>
              </w:drawing>
            </w:r>
          </w:p>
        </w:tc>
      </w:tr>
      <w:tr w:rsidR="000A3F2E" w:rsidRPr="008A34F8" w14:paraId="4B05BE91" w14:textId="77777777" w:rsidTr="00C4277A">
        <w:tc>
          <w:tcPr>
            <w:tcW w:w="4589" w:type="dxa"/>
          </w:tcPr>
          <w:p w14:paraId="185ED060" w14:textId="77777777" w:rsidR="000A3F2E" w:rsidRPr="008A34F8" w:rsidRDefault="000A3F2E" w:rsidP="000A3F2E">
            <w:pPr>
              <w:adjustRightInd w:val="0"/>
              <w:snapToGrid w:val="0"/>
              <w:jc w:val="both"/>
              <w:rPr>
                <w:rFonts w:cstheme="minorHAnsi"/>
                <w:noProof/>
                <w:sz w:val="20"/>
                <w:szCs w:val="20"/>
                <w:lang w:eastAsia="zh-CN" w:bidi="mn-Mong-CN"/>
              </w:rPr>
            </w:pPr>
            <w:r w:rsidRPr="008A34F8">
              <w:rPr>
                <w:rFonts w:cstheme="minorHAnsi"/>
                <w:b/>
                <w:sz w:val="20"/>
                <w:szCs w:val="20"/>
              </w:rPr>
              <w:t>Figure SMLS</w:t>
            </w:r>
            <w:r w:rsidRPr="008A34F8">
              <w:rPr>
                <w:rFonts w:eastAsiaTheme="minorEastAsia" w:cstheme="minorHAnsi"/>
                <w:b/>
                <w:sz w:val="20"/>
                <w:szCs w:val="20"/>
              </w:rPr>
              <w:t>-0</w:t>
            </w:r>
            <w:r w:rsidRPr="008A34F8">
              <w:rPr>
                <w:rFonts w:cstheme="minorHAnsi"/>
                <w:b/>
                <w:sz w:val="20"/>
                <w:szCs w:val="20"/>
              </w:rPr>
              <w:t>4</w:t>
            </w:r>
            <w:r w:rsidRPr="008A34F8">
              <w:rPr>
                <w:rFonts w:cstheme="minorHAnsi"/>
                <w:b/>
                <w:i/>
                <w:sz w:val="20"/>
                <w:szCs w:val="20"/>
              </w:rPr>
              <w:t>.</w:t>
            </w:r>
            <w:r w:rsidRPr="008A34F8">
              <w:rPr>
                <w:rFonts w:cstheme="minorHAnsi"/>
                <w:sz w:val="20"/>
                <w:szCs w:val="20"/>
              </w:rPr>
              <w:t xml:space="preserve"> Estimated annual average juvenile and adult fishing mortality for the diagnostic model.</w:t>
            </w:r>
          </w:p>
        </w:tc>
        <w:tc>
          <w:tcPr>
            <w:tcW w:w="4771" w:type="dxa"/>
            <w:vAlign w:val="center"/>
          </w:tcPr>
          <w:p w14:paraId="086CA515" w14:textId="77777777" w:rsidR="000A3F2E" w:rsidRPr="008A34F8" w:rsidRDefault="000A3F2E" w:rsidP="000A3F2E">
            <w:pPr>
              <w:keepNext/>
              <w:adjustRightInd w:val="0"/>
              <w:snapToGrid w:val="0"/>
              <w:jc w:val="both"/>
              <w:rPr>
                <w:rFonts w:cstheme="minorHAnsi"/>
                <w:b/>
                <w:sz w:val="20"/>
                <w:szCs w:val="20"/>
              </w:rPr>
            </w:pPr>
            <w:r w:rsidRPr="008A34F8">
              <w:rPr>
                <w:rFonts w:cstheme="minorHAnsi"/>
                <w:b/>
                <w:sz w:val="20"/>
                <w:szCs w:val="20"/>
              </w:rPr>
              <w:t>Figure SMLS</w:t>
            </w:r>
            <w:r w:rsidRPr="008A34F8">
              <w:rPr>
                <w:rFonts w:eastAsiaTheme="minorEastAsia" w:cstheme="minorHAnsi"/>
                <w:b/>
                <w:sz w:val="20"/>
                <w:szCs w:val="20"/>
              </w:rPr>
              <w:t>-0</w:t>
            </w:r>
            <w:r w:rsidRPr="008A34F8">
              <w:rPr>
                <w:rFonts w:cstheme="minorHAnsi"/>
                <w:b/>
                <w:sz w:val="20"/>
                <w:szCs w:val="20"/>
              </w:rPr>
              <w:t>5</w:t>
            </w:r>
            <w:r w:rsidRPr="008A34F8">
              <w:rPr>
                <w:rFonts w:cstheme="minorHAnsi"/>
                <w:b/>
                <w:i/>
                <w:sz w:val="20"/>
                <w:szCs w:val="20"/>
              </w:rPr>
              <w:t>.</w:t>
            </w:r>
            <w:r w:rsidRPr="008A34F8">
              <w:rPr>
                <w:rFonts w:cstheme="minorHAnsi"/>
                <w:sz w:val="20"/>
                <w:szCs w:val="20"/>
              </w:rPr>
              <w:t xml:space="preserve"> Estimates in reduction in spawning biomass and total biomass due to fishery impact for the diagnostic case model.</w:t>
            </w:r>
          </w:p>
        </w:tc>
      </w:tr>
    </w:tbl>
    <w:p w14:paraId="366C9366" w14:textId="77777777" w:rsidR="000A3F2E" w:rsidRPr="008A34F8" w:rsidRDefault="000A3F2E" w:rsidP="000A3F2E">
      <w:pPr>
        <w:adjustRightInd w:val="0"/>
        <w:snapToGrid w:val="0"/>
        <w:spacing w:after="0" w:line="240" w:lineRule="auto"/>
        <w:rPr>
          <w:rFonts w:cstheme="minorHAnsi"/>
        </w:rPr>
      </w:pPr>
    </w:p>
    <w:p w14:paraId="7E5F77E8" w14:textId="77777777" w:rsidR="000A3F2E" w:rsidRPr="008A34F8" w:rsidRDefault="000A3F2E" w:rsidP="000A3F2E">
      <w:pPr>
        <w:adjustRightInd w:val="0"/>
        <w:snapToGrid w:val="0"/>
        <w:spacing w:after="0" w:line="240" w:lineRule="auto"/>
        <w:rPr>
          <w:rFonts w:cstheme="minorHAnsi"/>
        </w:rPr>
      </w:pPr>
      <w:r w:rsidRPr="008A34F8">
        <w:rPr>
          <w:rFonts w:cstheme="minorHAnsi"/>
        </w:rPr>
        <w:br w:type="page"/>
      </w:r>
    </w:p>
    <w:p w14:paraId="2F8806E7" w14:textId="77777777" w:rsidR="000A3F2E" w:rsidRPr="008A34F8" w:rsidRDefault="000A3F2E" w:rsidP="000A3F2E">
      <w:pPr>
        <w:adjustRightInd w:val="0"/>
        <w:snapToGrid w:val="0"/>
        <w:spacing w:after="0" w:line="240" w:lineRule="auto"/>
        <w:rPr>
          <w:rFonts w:cstheme="min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4570"/>
      </w:tblGrid>
      <w:tr w:rsidR="000A3F2E" w:rsidRPr="008A34F8" w14:paraId="09B1F0E1" w14:textId="77777777" w:rsidTr="00573C70">
        <w:tc>
          <w:tcPr>
            <w:tcW w:w="2559" w:type="pct"/>
          </w:tcPr>
          <w:p w14:paraId="107D9D12" w14:textId="77777777" w:rsidR="000A3F2E" w:rsidRPr="008A34F8" w:rsidRDefault="000A3F2E" w:rsidP="000A3F2E">
            <w:pPr>
              <w:adjustRightInd w:val="0"/>
              <w:snapToGrid w:val="0"/>
              <w:rPr>
                <w:rFonts w:cstheme="minorHAnsi"/>
              </w:rPr>
            </w:pPr>
            <w:r w:rsidRPr="008A34F8">
              <w:rPr>
                <w:rFonts w:cstheme="minorHAnsi"/>
                <w:noProof/>
                <w:lang w:eastAsia="zh-CN" w:bidi="mn-Mong-CN"/>
              </w:rPr>
              <w:drawing>
                <wp:inline distT="0" distB="0" distL="0" distR="0" wp14:anchorId="52516E24" wp14:editId="39EE180F">
                  <wp:extent cx="2948935" cy="1931831"/>
                  <wp:effectExtent l="0" t="0" r="4445" b="0"/>
                  <wp:docPr id="158807" name="Picture 158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5291" cy="1949096"/>
                          </a:xfrm>
                          <a:prstGeom prst="rect">
                            <a:avLst/>
                          </a:prstGeom>
                          <a:noFill/>
                          <a:ln>
                            <a:noFill/>
                          </a:ln>
                        </pic:spPr>
                      </pic:pic>
                    </a:graphicData>
                  </a:graphic>
                </wp:inline>
              </w:drawing>
            </w:r>
          </w:p>
        </w:tc>
        <w:tc>
          <w:tcPr>
            <w:tcW w:w="2441" w:type="pct"/>
          </w:tcPr>
          <w:p w14:paraId="3DFF6427" w14:textId="77777777" w:rsidR="000A3F2E" w:rsidRPr="008A34F8" w:rsidRDefault="000A3F2E" w:rsidP="000A3F2E">
            <w:pPr>
              <w:adjustRightInd w:val="0"/>
              <w:snapToGrid w:val="0"/>
              <w:rPr>
                <w:rFonts w:cstheme="minorHAnsi"/>
              </w:rPr>
            </w:pPr>
            <w:r w:rsidRPr="008A34F8">
              <w:rPr>
                <w:rFonts w:cstheme="minorHAnsi"/>
                <w:noProof/>
                <w:lang w:eastAsia="zh-CN" w:bidi="mn-Mong-CN"/>
              </w:rPr>
              <w:drawing>
                <wp:inline distT="0" distB="0" distL="0" distR="0" wp14:anchorId="79B69B31" wp14:editId="10DBA710">
                  <wp:extent cx="2784744" cy="1931670"/>
                  <wp:effectExtent l="0" t="0" r="0" b="0"/>
                  <wp:docPr id="158808" name="Picture 15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25104" cy="1959666"/>
                          </a:xfrm>
                          <a:prstGeom prst="rect">
                            <a:avLst/>
                          </a:prstGeom>
                          <a:noFill/>
                          <a:ln>
                            <a:noFill/>
                          </a:ln>
                        </pic:spPr>
                      </pic:pic>
                    </a:graphicData>
                  </a:graphic>
                </wp:inline>
              </w:drawing>
            </w:r>
          </w:p>
        </w:tc>
      </w:tr>
      <w:tr w:rsidR="000A3F2E" w:rsidRPr="008A34F8" w14:paraId="04EE9077" w14:textId="77777777" w:rsidTr="00573C70">
        <w:tc>
          <w:tcPr>
            <w:tcW w:w="2559" w:type="pct"/>
          </w:tcPr>
          <w:p w14:paraId="0A72B0DF" w14:textId="77777777" w:rsidR="000A3F2E" w:rsidRPr="008A34F8" w:rsidRDefault="000A3F2E" w:rsidP="000A3F2E">
            <w:pPr>
              <w:adjustRightInd w:val="0"/>
              <w:snapToGrid w:val="0"/>
              <w:jc w:val="both"/>
              <w:rPr>
                <w:rFonts w:cstheme="minorHAnsi"/>
                <w:sz w:val="20"/>
                <w:szCs w:val="20"/>
              </w:rPr>
            </w:pPr>
            <w:r w:rsidRPr="008A34F8">
              <w:rPr>
                <w:rFonts w:cstheme="minorHAnsi"/>
                <w:b/>
                <w:sz w:val="20"/>
                <w:szCs w:val="20"/>
              </w:rPr>
              <w:t>Figure SMLS</w:t>
            </w:r>
            <w:r w:rsidRPr="008A34F8">
              <w:rPr>
                <w:rFonts w:eastAsiaTheme="minorEastAsia" w:cstheme="minorHAnsi"/>
                <w:b/>
                <w:sz w:val="20"/>
                <w:szCs w:val="20"/>
              </w:rPr>
              <w:t>-0</w:t>
            </w:r>
            <w:r w:rsidRPr="008A34F8">
              <w:rPr>
                <w:rFonts w:cstheme="minorHAnsi"/>
                <w:b/>
                <w:sz w:val="20"/>
                <w:szCs w:val="20"/>
              </w:rPr>
              <w:t>6</w:t>
            </w:r>
            <w:r w:rsidRPr="008A34F8">
              <w:rPr>
                <w:rFonts w:cstheme="minorHAnsi"/>
                <w:b/>
                <w:i/>
                <w:sz w:val="20"/>
                <w:szCs w:val="20"/>
              </w:rPr>
              <w:t>.</w:t>
            </w:r>
            <w:r w:rsidRPr="008A34F8">
              <w:rPr>
                <w:rFonts w:cstheme="minorHAnsi"/>
                <w:sz w:val="20"/>
                <w:szCs w:val="20"/>
              </w:rPr>
              <w:t xml:space="preserve"> Plot showing the trajectories of spawning biomass depletion for the model runs included in the structural uncertainty grid described in Table </w:t>
            </w:r>
            <w:r w:rsidRPr="008A34F8">
              <w:rPr>
                <w:rFonts w:eastAsiaTheme="minorEastAsia" w:cstheme="minorHAnsi"/>
                <w:sz w:val="20"/>
                <w:szCs w:val="20"/>
              </w:rPr>
              <w:t>SMLS-0</w:t>
            </w:r>
            <w:r w:rsidRPr="008A34F8">
              <w:rPr>
                <w:rFonts w:cstheme="minorHAnsi"/>
                <w:sz w:val="20"/>
                <w:szCs w:val="20"/>
              </w:rPr>
              <w:t>1. Gray horizontal lines indicate 50% and 20% levels of depletion. On the right of the depletion is the median point estimate of the recent level reference point with the bar indicating the 80</w:t>
            </w:r>
            <w:r w:rsidRPr="008A34F8">
              <w:rPr>
                <w:rFonts w:cstheme="minorHAnsi"/>
                <w:sz w:val="20"/>
                <w:szCs w:val="20"/>
                <w:vertAlign w:val="superscript"/>
              </w:rPr>
              <w:t>th</w:t>
            </w:r>
            <w:r w:rsidRPr="008A34F8">
              <w:rPr>
                <w:rFonts w:cstheme="minorHAnsi"/>
                <w:sz w:val="20"/>
                <w:szCs w:val="20"/>
              </w:rPr>
              <w:t xml:space="preserve"> percentile. </w:t>
            </w:r>
          </w:p>
        </w:tc>
        <w:tc>
          <w:tcPr>
            <w:tcW w:w="2441" w:type="pct"/>
          </w:tcPr>
          <w:p w14:paraId="6CF81946" w14:textId="77777777" w:rsidR="000A3F2E" w:rsidRPr="008A34F8" w:rsidRDefault="000A3F2E" w:rsidP="000A3F2E">
            <w:pPr>
              <w:adjustRightInd w:val="0"/>
              <w:snapToGrid w:val="0"/>
              <w:jc w:val="both"/>
              <w:rPr>
                <w:rFonts w:cstheme="minorHAnsi"/>
                <w:sz w:val="20"/>
                <w:szCs w:val="20"/>
              </w:rPr>
            </w:pPr>
            <w:r w:rsidRPr="008A34F8">
              <w:rPr>
                <w:rFonts w:cstheme="minorHAnsi"/>
                <w:b/>
                <w:sz w:val="20"/>
                <w:szCs w:val="20"/>
              </w:rPr>
              <w:t>Figure SMLS</w:t>
            </w:r>
            <w:r w:rsidRPr="008A34F8">
              <w:rPr>
                <w:rFonts w:eastAsiaTheme="minorEastAsia" w:cstheme="minorHAnsi"/>
                <w:b/>
                <w:sz w:val="20"/>
                <w:szCs w:val="20"/>
              </w:rPr>
              <w:t>-0</w:t>
            </w:r>
            <w:r w:rsidRPr="008A34F8">
              <w:rPr>
                <w:rFonts w:cstheme="minorHAnsi"/>
                <w:b/>
                <w:sz w:val="20"/>
                <w:szCs w:val="20"/>
              </w:rPr>
              <w:t>6bis</w:t>
            </w:r>
            <w:r w:rsidRPr="008A34F8">
              <w:rPr>
                <w:rFonts w:cstheme="minorHAnsi"/>
                <w:b/>
                <w:i/>
                <w:sz w:val="20"/>
                <w:szCs w:val="20"/>
              </w:rPr>
              <w:t>.</w:t>
            </w:r>
            <w:r w:rsidRPr="008A34F8">
              <w:rPr>
                <w:rFonts w:cstheme="minorHAnsi"/>
                <w:sz w:val="20"/>
                <w:szCs w:val="20"/>
              </w:rPr>
              <w:t xml:space="preserve"> Plot showing the trajectories of fishing mortality for the model runs included in the structural uncertainty grid described in Table </w:t>
            </w:r>
            <w:r w:rsidRPr="008A34F8">
              <w:rPr>
                <w:rFonts w:eastAsiaTheme="minorEastAsia" w:cstheme="minorHAnsi"/>
                <w:sz w:val="20"/>
                <w:szCs w:val="20"/>
              </w:rPr>
              <w:t>SMLS-0</w:t>
            </w:r>
            <w:r w:rsidRPr="008A34F8">
              <w:rPr>
                <w:rFonts w:cstheme="minorHAnsi"/>
                <w:sz w:val="20"/>
                <w:szCs w:val="20"/>
              </w:rPr>
              <w:t>1. Gray horizontal lines indicate F</w:t>
            </w:r>
            <w:r w:rsidRPr="008A34F8">
              <w:rPr>
                <w:rFonts w:cstheme="minorHAnsi"/>
                <w:sz w:val="20"/>
                <w:szCs w:val="20"/>
                <w:vertAlign w:val="subscript"/>
              </w:rPr>
              <w:t>MSY</w:t>
            </w:r>
            <w:r w:rsidRPr="008A34F8">
              <w:rPr>
                <w:rFonts w:cstheme="minorHAnsi"/>
                <w:sz w:val="20"/>
                <w:szCs w:val="20"/>
              </w:rPr>
              <w:t>. On the right of the depletion is the median point estimate of the recent level reference point with the bar indicating the 80</w:t>
            </w:r>
            <w:r w:rsidRPr="008A34F8">
              <w:rPr>
                <w:rFonts w:cstheme="minorHAnsi"/>
                <w:sz w:val="20"/>
                <w:szCs w:val="20"/>
                <w:vertAlign w:val="superscript"/>
              </w:rPr>
              <w:t>th</w:t>
            </w:r>
            <w:r w:rsidRPr="008A34F8">
              <w:rPr>
                <w:rFonts w:cstheme="minorHAnsi"/>
                <w:sz w:val="20"/>
                <w:szCs w:val="20"/>
              </w:rPr>
              <w:t xml:space="preserve"> percentile. </w:t>
            </w:r>
          </w:p>
        </w:tc>
      </w:tr>
      <w:tr w:rsidR="000A3F2E" w:rsidRPr="008A34F8" w14:paraId="41D266AA" w14:textId="77777777" w:rsidTr="00573C70">
        <w:trPr>
          <w:trHeight w:val="5507"/>
        </w:trPr>
        <w:tc>
          <w:tcPr>
            <w:tcW w:w="2559" w:type="pct"/>
            <w:vAlign w:val="bottom"/>
          </w:tcPr>
          <w:p w14:paraId="4F28C66C" w14:textId="77777777" w:rsidR="000A3F2E" w:rsidRPr="008A34F8" w:rsidRDefault="000A3F2E" w:rsidP="000A3F2E">
            <w:pPr>
              <w:adjustRightInd w:val="0"/>
              <w:snapToGrid w:val="0"/>
              <w:jc w:val="center"/>
              <w:rPr>
                <w:rFonts w:cstheme="minorHAnsi"/>
                <w:b/>
                <w:sz w:val="20"/>
                <w:szCs w:val="20"/>
              </w:rPr>
            </w:pPr>
            <w:r w:rsidRPr="008A34F8">
              <w:rPr>
                <w:rFonts w:cstheme="minorHAnsi"/>
                <w:noProof/>
                <w:lang w:eastAsia="zh-CN" w:bidi="mn-Mong-CN"/>
              </w:rPr>
              <w:drawing>
                <wp:inline distT="0" distB="0" distL="0" distR="0" wp14:anchorId="7D41183E" wp14:editId="454C086C">
                  <wp:extent cx="2991394" cy="2991394"/>
                  <wp:effectExtent l="0" t="0" r="0" b="0"/>
                  <wp:docPr id="158809" name="図 2" descr="majuro.all.SBrec.p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juro.all.SBrec.pnt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92957" cy="2992957"/>
                          </a:xfrm>
                          <a:prstGeom prst="rect">
                            <a:avLst/>
                          </a:prstGeom>
                          <a:noFill/>
                          <a:ln>
                            <a:noFill/>
                          </a:ln>
                        </pic:spPr>
                      </pic:pic>
                    </a:graphicData>
                  </a:graphic>
                </wp:inline>
              </w:drawing>
            </w:r>
          </w:p>
        </w:tc>
        <w:tc>
          <w:tcPr>
            <w:tcW w:w="2441" w:type="pct"/>
            <w:vAlign w:val="bottom"/>
          </w:tcPr>
          <w:p w14:paraId="6A5108FB" w14:textId="77777777" w:rsidR="000A3F2E" w:rsidRPr="008A34F8" w:rsidRDefault="000A3F2E" w:rsidP="000A3F2E">
            <w:pPr>
              <w:adjustRightInd w:val="0"/>
              <w:snapToGrid w:val="0"/>
              <w:jc w:val="center"/>
              <w:rPr>
                <w:rFonts w:cstheme="minorHAnsi"/>
                <w:b/>
                <w:sz w:val="20"/>
                <w:szCs w:val="20"/>
              </w:rPr>
            </w:pPr>
            <w:r w:rsidRPr="008A34F8">
              <w:rPr>
                <w:rFonts w:cstheme="minorHAnsi"/>
                <w:noProof/>
                <w:lang w:eastAsia="zh-CN" w:bidi="mn-Mong-CN"/>
              </w:rPr>
              <w:drawing>
                <wp:inline distT="0" distB="0" distL="0" distR="0" wp14:anchorId="10EBE17E" wp14:editId="44365279">
                  <wp:extent cx="2847703" cy="2847703"/>
                  <wp:effectExtent l="0" t="0" r="0" b="0"/>
                  <wp:docPr id="158810" name="図 1" descr="kobe.all.SBrec.p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obe.all.SBrec.pnt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9194" cy="2849194"/>
                          </a:xfrm>
                          <a:prstGeom prst="rect">
                            <a:avLst/>
                          </a:prstGeom>
                          <a:noFill/>
                          <a:ln>
                            <a:noFill/>
                          </a:ln>
                        </pic:spPr>
                      </pic:pic>
                    </a:graphicData>
                  </a:graphic>
                </wp:inline>
              </w:drawing>
            </w:r>
          </w:p>
        </w:tc>
      </w:tr>
      <w:tr w:rsidR="000A3F2E" w:rsidRPr="008A34F8" w14:paraId="63DFBB66" w14:textId="77777777" w:rsidTr="00573C70">
        <w:tc>
          <w:tcPr>
            <w:tcW w:w="2559" w:type="pct"/>
          </w:tcPr>
          <w:p w14:paraId="3FB96DA9" w14:textId="77777777" w:rsidR="000A3F2E" w:rsidRPr="008A34F8" w:rsidRDefault="000A3F2E" w:rsidP="000A3F2E">
            <w:pPr>
              <w:adjustRightInd w:val="0"/>
              <w:snapToGrid w:val="0"/>
              <w:jc w:val="both"/>
              <w:rPr>
                <w:rFonts w:cstheme="minorHAnsi"/>
                <w:sz w:val="20"/>
                <w:szCs w:val="20"/>
              </w:rPr>
            </w:pPr>
            <w:r w:rsidRPr="008A34F8">
              <w:rPr>
                <w:rFonts w:cstheme="minorHAnsi"/>
                <w:b/>
                <w:sz w:val="20"/>
                <w:szCs w:val="20"/>
              </w:rPr>
              <w:t>Figure SMLS</w:t>
            </w:r>
            <w:r w:rsidRPr="008A34F8">
              <w:rPr>
                <w:rFonts w:eastAsiaTheme="minorEastAsia" w:cstheme="minorHAnsi"/>
                <w:b/>
                <w:sz w:val="20"/>
                <w:szCs w:val="20"/>
              </w:rPr>
              <w:t>-0</w:t>
            </w:r>
            <w:r w:rsidRPr="008A34F8">
              <w:rPr>
                <w:rFonts w:cstheme="minorHAnsi"/>
                <w:b/>
                <w:sz w:val="20"/>
                <w:szCs w:val="20"/>
              </w:rPr>
              <w:t>7</w:t>
            </w:r>
            <w:r w:rsidRPr="008A34F8">
              <w:rPr>
                <w:rFonts w:cstheme="minorHAnsi"/>
                <w:b/>
                <w:i/>
                <w:sz w:val="20"/>
                <w:szCs w:val="20"/>
              </w:rPr>
              <w:t>.</w:t>
            </w:r>
            <w:r w:rsidRPr="008A34F8">
              <w:rPr>
                <w:rFonts w:cstheme="minorHAnsi"/>
                <w:sz w:val="20"/>
                <w:szCs w:val="20"/>
              </w:rPr>
              <w:t xml:space="preserve"> Majuro plot for the recent spawning biomass (2014 – 2017) summarizing the results for each of the models in the structural uncertainty grid. The plots represent estimates of stock status in terms of spawning biomass depletion and fishing mortality, and marginal distributions of each are presented. The blue square is the median of the grid. </w:t>
            </w:r>
          </w:p>
        </w:tc>
        <w:tc>
          <w:tcPr>
            <w:tcW w:w="2441" w:type="pct"/>
          </w:tcPr>
          <w:p w14:paraId="47B0C76F" w14:textId="77777777" w:rsidR="000A3F2E" w:rsidRPr="008A34F8" w:rsidRDefault="000A3F2E" w:rsidP="000A3F2E">
            <w:pPr>
              <w:adjustRightInd w:val="0"/>
              <w:snapToGrid w:val="0"/>
              <w:jc w:val="both"/>
              <w:rPr>
                <w:rFonts w:cstheme="minorHAnsi"/>
                <w:sz w:val="20"/>
                <w:szCs w:val="20"/>
              </w:rPr>
            </w:pPr>
            <w:r w:rsidRPr="008A34F8">
              <w:rPr>
                <w:rFonts w:cstheme="minorHAnsi"/>
                <w:b/>
                <w:sz w:val="20"/>
                <w:szCs w:val="20"/>
              </w:rPr>
              <w:t>Figure SMLS</w:t>
            </w:r>
            <w:r w:rsidRPr="008A34F8">
              <w:rPr>
                <w:rFonts w:eastAsiaTheme="minorEastAsia" w:cstheme="minorHAnsi"/>
                <w:b/>
                <w:sz w:val="20"/>
                <w:szCs w:val="20"/>
              </w:rPr>
              <w:t>-0</w:t>
            </w:r>
            <w:r w:rsidRPr="008A34F8">
              <w:rPr>
                <w:rFonts w:cstheme="minorHAnsi"/>
                <w:b/>
                <w:sz w:val="20"/>
                <w:szCs w:val="20"/>
              </w:rPr>
              <w:t>8</w:t>
            </w:r>
            <w:r w:rsidRPr="008A34F8">
              <w:rPr>
                <w:rFonts w:cstheme="minorHAnsi"/>
                <w:b/>
                <w:i/>
                <w:sz w:val="20"/>
                <w:szCs w:val="20"/>
              </w:rPr>
              <w:t>.</w:t>
            </w:r>
            <w:r w:rsidRPr="008A34F8">
              <w:rPr>
                <w:rFonts w:cstheme="minorHAnsi"/>
                <w:sz w:val="20"/>
                <w:szCs w:val="20"/>
              </w:rPr>
              <w:t xml:space="preserve"> Kobe plot for the recent spawning biomass (2014 – 2017) summarizing the results for each of the models in the structural uncertainty grid. The plots represent estimates of stock status in terms of spawning biomass relative to the spawning biomass that produces MSY and fishing mortality, and marginal distributions of each are presented. The blue square is the median of the grid. </w:t>
            </w:r>
          </w:p>
        </w:tc>
      </w:tr>
    </w:tbl>
    <w:p w14:paraId="19251C3D" w14:textId="77777777" w:rsidR="000A3F2E" w:rsidRPr="008A34F8" w:rsidRDefault="000A3F2E" w:rsidP="000A3F2E">
      <w:pPr>
        <w:adjustRightInd w:val="0"/>
        <w:snapToGrid w:val="0"/>
        <w:spacing w:after="0" w:line="240" w:lineRule="auto"/>
        <w:rPr>
          <w:rFonts w:cstheme="minorHAnsi"/>
        </w:rPr>
      </w:pPr>
    </w:p>
    <w:p w14:paraId="3FB8FE04" w14:textId="77777777" w:rsidR="000A3F2E" w:rsidRPr="008A34F8" w:rsidRDefault="000A3F2E" w:rsidP="000A3F2E">
      <w:pPr>
        <w:adjustRightInd w:val="0"/>
        <w:snapToGrid w:val="0"/>
        <w:spacing w:after="0" w:line="240" w:lineRule="auto"/>
        <w:rPr>
          <w:rFonts w:cstheme="minorHAnsi"/>
        </w:rPr>
      </w:pPr>
    </w:p>
    <w:p w14:paraId="36F5BF96" w14:textId="77777777" w:rsidR="000A3F2E" w:rsidRPr="008A34F8" w:rsidRDefault="000A3F2E" w:rsidP="000A3F2E">
      <w:pPr>
        <w:adjustRightInd w:val="0"/>
        <w:snapToGrid w:val="0"/>
        <w:spacing w:after="0" w:line="240" w:lineRule="auto"/>
        <w:jc w:val="center"/>
        <w:rPr>
          <w:rFonts w:cstheme="minorHAnsi"/>
        </w:rPr>
      </w:pPr>
    </w:p>
    <w:p w14:paraId="0CC3B90F" w14:textId="77777777" w:rsidR="000A3F2E" w:rsidRPr="008A34F8" w:rsidRDefault="000A3F2E" w:rsidP="000A3F2E">
      <w:pPr>
        <w:pStyle w:val="ListParagraph"/>
        <w:numPr>
          <w:ilvl w:val="0"/>
          <w:numId w:val="30"/>
        </w:numPr>
        <w:adjustRightInd w:val="0"/>
        <w:snapToGrid w:val="0"/>
        <w:ind w:left="0" w:firstLine="0"/>
        <w:contextualSpacing w:val="0"/>
        <w:jc w:val="left"/>
        <w:rPr>
          <w:rFonts w:asciiTheme="minorHAnsi" w:hAnsiTheme="minorHAnsi" w:cstheme="minorHAnsi"/>
          <w:b/>
        </w:rPr>
      </w:pPr>
      <w:r w:rsidRPr="008A34F8">
        <w:rPr>
          <w:rFonts w:asciiTheme="minorHAnsi" w:hAnsiTheme="minorHAnsi" w:cstheme="minorHAnsi"/>
          <w:b/>
        </w:rPr>
        <w:t>Management Advice and implications</w:t>
      </w:r>
    </w:p>
    <w:p w14:paraId="4B9F2693" w14:textId="77777777" w:rsidR="000A3F2E" w:rsidRPr="008A34F8" w:rsidRDefault="000A3F2E" w:rsidP="000A3F2E">
      <w:pPr>
        <w:pStyle w:val="Default"/>
        <w:snapToGrid w:val="0"/>
        <w:jc w:val="both"/>
        <w:rPr>
          <w:rFonts w:asciiTheme="minorHAnsi" w:hAnsiTheme="minorHAnsi" w:cstheme="minorHAnsi"/>
          <w:bCs/>
          <w:color w:val="000000" w:themeColor="text1"/>
          <w:sz w:val="22"/>
          <w:szCs w:val="22"/>
          <w:lang w:val="en-AU"/>
        </w:rPr>
      </w:pPr>
    </w:p>
    <w:p w14:paraId="3397C319" w14:textId="77777777" w:rsidR="000A3F2E" w:rsidRPr="008A34F8" w:rsidRDefault="000A3F2E" w:rsidP="000A3F2E">
      <w:pPr>
        <w:pStyle w:val="WCPFC"/>
        <w:adjustRightInd w:val="0"/>
        <w:spacing w:after="0"/>
        <w:ind w:left="0" w:firstLine="0"/>
        <w:rPr>
          <w:rFonts w:asciiTheme="minorHAnsi" w:hAnsiTheme="minorHAnsi" w:cstheme="minorHAnsi"/>
          <w:bCs/>
          <w:color w:val="000000" w:themeColor="text1"/>
          <w:lang w:val="en-AU"/>
        </w:rPr>
      </w:pPr>
      <w:r w:rsidRPr="008A34F8">
        <w:rPr>
          <w:rFonts w:asciiTheme="minorHAnsi" w:hAnsiTheme="minorHAnsi" w:cstheme="minorHAnsi"/>
          <w:bCs/>
          <w:color w:val="000000" w:themeColor="text1"/>
          <w:lang w:val="en-AU"/>
        </w:rPr>
        <w:t xml:space="preserve">SC15 noted that there are no agreed limit reference points for the WCPO billfish.  However, SC15 also noted that based on the adopted uncertainty grid, the southwest Pacific striped marlin assessment results indicate that the stock is likely overfished, and close to undergoing overfishing according to MSY-based reference points. SC15 recommends that WCPFC16 identify an appropriate limit reference point for this stock. </w:t>
      </w:r>
      <w:r w:rsidRPr="008A34F8">
        <w:rPr>
          <w:rFonts w:asciiTheme="minorHAnsi" w:hAnsiTheme="minorHAnsi" w:cstheme="minorHAnsi"/>
          <w:bCs/>
          <w:color w:val="000000" w:themeColor="text1"/>
        </w:rPr>
        <w:t xml:space="preserve"> Key management quantities can be found in Table SMLS</w:t>
      </w:r>
      <w:r w:rsidRPr="008A34F8">
        <w:rPr>
          <w:rFonts w:asciiTheme="minorHAnsi" w:hAnsiTheme="minorHAnsi" w:cstheme="minorHAnsi"/>
          <w:bCs/>
          <w:color w:val="000000" w:themeColor="text1"/>
          <w:lang w:eastAsia="ko-KR"/>
        </w:rPr>
        <w:t>-0</w:t>
      </w:r>
      <w:r w:rsidRPr="008A34F8">
        <w:rPr>
          <w:rFonts w:asciiTheme="minorHAnsi" w:hAnsiTheme="minorHAnsi" w:cstheme="minorHAnsi"/>
          <w:bCs/>
          <w:color w:val="000000" w:themeColor="text1"/>
        </w:rPr>
        <w:t xml:space="preserve">2. </w:t>
      </w:r>
      <w:r w:rsidRPr="008A34F8">
        <w:rPr>
          <w:rFonts w:asciiTheme="minorHAnsi" w:hAnsiTheme="minorHAnsi" w:cstheme="minorHAnsi"/>
          <w:bCs/>
          <w:color w:val="000000" w:themeColor="text1"/>
          <w:lang w:val="en-AU"/>
        </w:rPr>
        <w:t xml:space="preserve"> The recent spawning biomass depletion relative to the unfished condition was close to the LRP adopted for tunas (SB</w:t>
      </w:r>
      <w:r w:rsidRPr="008A34F8">
        <w:rPr>
          <w:rFonts w:asciiTheme="minorHAnsi" w:hAnsiTheme="minorHAnsi" w:cstheme="minorHAnsi"/>
          <w:bCs/>
          <w:color w:val="000000" w:themeColor="text1"/>
          <w:vertAlign w:val="subscript"/>
          <w:lang w:val="en-AU"/>
        </w:rPr>
        <w:t>recent</w:t>
      </w:r>
      <w:r w:rsidRPr="008A34F8">
        <w:rPr>
          <w:rFonts w:asciiTheme="minorHAnsi" w:hAnsiTheme="minorHAnsi" w:cstheme="minorHAnsi"/>
          <w:bCs/>
          <w:color w:val="000000" w:themeColor="text1"/>
          <w:lang w:val="en-AU"/>
        </w:rPr>
        <w:t>/SB</w:t>
      </w:r>
      <w:r w:rsidRPr="008A34F8">
        <w:rPr>
          <w:rFonts w:asciiTheme="minorHAnsi" w:hAnsiTheme="minorHAnsi" w:cstheme="minorHAnsi"/>
          <w:bCs/>
          <w:color w:val="000000" w:themeColor="text1"/>
          <w:vertAlign w:val="subscript"/>
          <w:lang w:val="en-AU"/>
        </w:rPr>
        <w:t>F=0</w:t>
      </w:r>
      <w:r w:rsidRPr="008A34F8">
        <w:rPr>
          <w:rFonts w:asciiTheme="minorHAnsi" w:hAnsiTheme="minorHAnsi" w:cstheme="minorHAnsi"/>
          <w:bCs/>
          <w:color w:val="000000" w:themeColor="text1"/>
          <w:lang w:val="en-AU"/>
        </w:rPr>
        <w:t xml:space="preserve"> = 0.2).</w:t>
      </w:r>
    </w:p>
    <w:p w14:paraId="60246CEC" w14:textId="77777777" w:rsidR="000A3F2E" w:rsidRPr="008A34F8" w:rsidRDefault="000A3F2E" w:rsidP="000A3F2E">
      <w:pPr>
        <w:pStyle w:val="Default"/>
        <w:snapToGrid w:val="0"/>
        <w:jc w:val="both"/>
        <w:rPr>
          <w:rFonts w:asciiTheme="minorHAnsi" w:hAnsiTheme="minorHAnsi" w:cstheme="minorHAnsi"/>
          <w:bCs/>
          <w:color w:val="000000" w:themeColor="text1"/>
          <w:sz w:val="22"/>
          <w:szCs w:val="22"/>
          <w:lang w:val="en-AU"/>
        </w:rPr>
      </w:pPr>
    </w:p>
    <w:p w14:paraId="70738794" w14:textId="77777777" w:rsidR="000A3F2E" w:rsidRPr="008A34F8" w:rsidRDefault="000A3F2E" w:rsidP="000A3F2E">
      <w:pPr>
        <w:pStyle w:val="WCPFC"/>
        <w:adjustRightInd w:val="0"/>
        <w:spacing w:after="0"/>
        <w:ind w:left="0" w:firstLine="0"/>
        <w:rPr>
          <w:rFonts w:asciiTheme="minorHAnsi" w:hAnsiTheme="minorHAnsi" w:cstheme="minorHAnsi"/>
          <w:bCs/>
          <w:color w:val="000000" w:themeColor="text1"/>
          <w:lang w:val="en-AU"/>
        </w:rPr>
      </w:pPr>
      <w:r w:rsidRPr="008A34F8">
        <w:rPr>
          <w:rFonts w:asciiTheme="minorHAnsi" w:hAnsiTheme="minorHAnsi" w:cstheme="minorHAnsi"/>
          <w:bCs/>
          <w:color w:val="000000" w:themeColor="text1"/>
          <w:lang w:val="en-AU"/>
        </w:rPr>
        <w:t xml:space="preserve">SC15 noted that recent catches are approximately half the MSY, and that recent fishing mortality is slightly less than the fishing mortality that would result in MSY.  </w:t>
      </w:r>
    </w:p>
    <w:p w14:paraId="1B251D8C" w14:textId="77777777" w:rsidR="000A3F2E" w:rsidRPr="008A34F8" w:rsidRDefault="000A3F2E" w:rsidP="000A3F2E">
      <w:pPr>
        <w:pStyle w:val="Default"/>
        <w:snapToGrid w:val="0"/>
        <w:jc w:val="both"/>
        <w:rPr>
          <w:rFonts w:asciiTheme="minorHAnsi" w:hAnsiTheme="minorHAnsi" w:cstheme="minorHAnsi"/>
          <w:bCs/>
          <w:color w:val="000000" w:themeColor="text1"/>
          <w:sz w:val="22"/>
          <w:szCs w:val="22"/>
          <w:lang w:val="en-AU"/>
        </w:rPr>
      </w:pPr>
    </w:p>
    <w:p w14:paraId="79EB432C" w14:textId="77777777" w:rsidR="000A3F2E" w:rsidRPr="008A34F8" w:rsidRDefault="000A3F2E" w:rsidP="000A3F2E">
      <w:pPr>
        <w:pStyle w:val="WCPFC"/>
        <w:adjustRightInd w:val="0"/>
        <w:spacing w:after="0"/>
        <w:ind w:left="0" w:firstLine="0"/>
        <w:rPr>
          <w:rFonts w:asciiTheme="minorHAnsi" w:hAnsiTheme="minorHAnsi" w:cstheme="minorHAnsi"/>
          <w:bCs/>
          <w:color w:val="000000" w:themeColor="text1"/>
        </w:rPr>
      </w:pPr>
      <w:r w:rsidRPr="008A34F8">
        <w:rPr>
          <w:rFonts w:asciiTheme="minorHAnsi" w:hAnsiTheme="minorHAnsi" w:cstheme="minorHAnsi"/>
          <w:bCs/>
          <w:color w:val="000000" w:themeColor="text1"/>
          <w:lang w:val="en-AU"/>
        </w:rPr>
        <w:t xml:space="preserve">SC15 recommended SC16 </w:t>
      </w:r>
      <w:r w:rsidRPr="008A34F8">
        <w:rPr>
          <w:rFonts w:asciiTheme="minorHAnsi" w:hAnsiTheme="minorHAnsi" w:cstheme="minorHAnsi"/>
          <w:bCs/>
          <w:color w:val="000000" w:themeColor="text1"/>
        </w:rPr>
        <w:t xml:space="preserve">use stochastic stock projections, including the expansion of the geographic scope of CMM2006-04 by assuming average fishing effort during 2000-2004 by CCMs and zero fishing mortality in assessment region 1, to evaluate the potential long-term performance of the CMM. </w:t>
      </w:r>
    </w:p>
    <w:p w14:paraId="517CDB7B" w14:textId="77777777" w:rsidR="000A3F2E" w:rsidRPr="008A34F8" w:rsidRDefault="000A3F2E" w:rsidP="000A3F2E">
      <w:pPr>
        <w:pStyle w:val="Default"/>
        <w:snapToGrid w:val="0"/>
        <w:jc w:val="both"/>
        <w:rPr>
          <w:rFonts w:asciiTheme="minorHAnsi" w:hAnsiTheme="minorHAnsi" w:cstheme="minorHAnsi"/>
          <w:bCs/>
          <w:color w:val="000000" w:themeColor="text1"/>
          <w:sz w:val="22"/>
          <w:szCs w:val="22"/>
        </w:rPr>
      </w:pPr>
    </w:p>
    <w:p w14:paraId="3DFCD81F" w14:textId="77777777" w:rsidR="000A3F2E" w:rsidRPr="008A34F8" w:rsidRDefault="000A3F2E" w:rsidP="000A3F2E">
      <w:pPr>
        <w:pStyle w:val="WCPFC"/>
        <w:adjustRightInd w:val="0"/>
        <w:spacing w:after="0"/>
        <w:ind w:left="0" w:firstLine="0"/>
        <w:rPr>
          <w:rFonts w:asciiTheme="minorHAnsi" w:hAnsiTheme="minorHAnsi" w:cstheme="minorHAnsi"/>
          <w:bCs/>
          <w:color w:val="000000" w:themeColor="text1"/>
          <w:lang w:val="en-AU"/>
        </w:rPr>
      </w:pPr>
      <w:r w:rsidRPr="008A34F8">
        <w:rPr>
          <w:rFonts w:asciiTheme="minorHAnsi" w:hAnsiTheme="minorHAnsi" w:cstheme="minorHAnsi"/>
          <w:bCs/>
          <w:color w:val="000000" w:themeColor="text1"/>
          <w:lang w:val="en-AU"/>
        </w:rPr>
        <w:t xml:space="preserve">SC15 recommended that WCPFC16 consider measures to reduce the overall catch of this stock, including through the expansion of the geographical scope of CMM2006-04, in order to cover the distribution range of the stock.   </w:t>
      </w:r>
    </w:p>
    <w:p w14:paraId="27FC0052" w14:textId="77777777" w:rsidR="000A3F2E" w:rsidRPr="008A34F8" w:rsidRDefault="000A3F2E" w:rsidP="000A3F2E">
      <w:pPr>
        <w:adjustRightInd w:val="0"/>
        <w:snapToGrid w:val="0"/>
        <w:spacing w:after="0" w:line="240" w:lineRule="auto"/>
        <w:rPr>
          <w:rFonts w:cstheme="minorHAnsi"/>
          <w:color w:val="000000" w:themeColor="text1"/>
          <w:lang w:val="en-NZ"/>
        </w:rPr>
      </w:pPr>
    </w:p>
    <w:p w14:paraId="09A50237" w14:textId="77777777" w:rsidR="000A3F2E" w:rsidRPr="008A34F8" w:rsidRDefault="000A3F2E" w:rsidP="000A3F2E">
      <w:pPr>
        <w:pStyle w:val="ListParagraph"/>
        <w:numPr>
          <w:ilvl w:val="0"/>
          <w:numId w:val="30"/>
        </w:numPr>
        <w:adjustRightInd w:val="0"/>
        <w:snapToGrid w:val="0"/>
        <w:ind w:left="0" w:firstLine="0"/>
        <w:contextualSpacing w:val="0"/>
        <w:jc w:val="left"/>
        <w:rPr>
          <w:rFonts w:asciiTheme="minorHAnsi" w:hAnsiTheme="minorHAnsi" w:cstheme="minorHAnsi"/>
          <w:b/>
          <w:color w:val="000000" w:themeColor="text1"/>
        </w:rPr>
      </w:pPr>
      <w:r w:rsidRPr="008A34F8">
        <w:rPr>
          <w:rFonts w:asciiTheme="minorHAnsi" w:hAnsiTheme="minorHAnsi" w:cstheme="minorHAnsi"/>
          <w:b/>
          <w:color w:val="000000" w:themeColor="text1"/>
        </w:rPr>
        <w:t>Research recommendations</w:t>
      </w:r>
    </w:p>
    <w:p w14:paraId="1A52A2D8" w14:textId="77777777" w:rsidR="000A3F2E" w:rsidRPr="008A34F8" w:rsidRDefault="000A3F2E" w:rsidP="000A3F2E">
      <w:pPr>
        <w:adjustRightInd w:val="0"/>
        <w:snapToGrid w:val="0"/>
        <w:spacing w:after="0" w:line="240" w:lineRule="auto"/>
        <w:rPr>
          <w:rFonts w:eastAsia="MS PMincho" w:cstheme="minorHAnsi"/>
          <w:bCs/>
          <w:color w:val="000000" w:themeColor="text1"/>
        </w:rPr>
      </w:pPr>
    </w:p>
    <w:p w14:paraId="6F3DE80C" w14:textId="77777777" w:rsidR="000A3F2E" w:rsidRPr="008A34F8" w:rsidRDefault="000A3F2E" w:rsidP="000A3F2E">
      <w:pPr>
        <w:pStyle w:val="WCPFC"/>
        <w:adjustRightInd w:val="0"/>
        <w:spacing w:after="0"/>
        <w:ind w:left="0" w:firstLine="0"/>
        <w:rPr>
          <w:rFonts w:asciiTheme="minorHAnsi" w:hAnsiTheme="minorHAnsi" w:cstheme="minorHAnsi"/>
          <w:color w:val="000000" w:themeColor="text1"/>
        </w:rPr>
      </w:pPr>
      <w:r w:rsidRPr="008A34F8">
        <w:rPr>
          <w:rFonts w:asciiTheme="minorHAnsi" w:eastAsia="MS PMincho" w:hAnsiTheme="minorHAnsi" w:cstheme="minorHAnsi"/>
          <w:bCs/>
          <w:color w:val="000000" w:themeColor="text1"/>
        </w:rPr>
        <w:t>The following research activities were recommended by SC15 in order to progress the assessment of Southwestern Pacific striped marlin.</w:t>
      </w:r>
    </w:p>
    <w:p w14:paraId="34FBFB50" w14:textId="77777777" w:rsidR="000A3F2E" w:rsidRPr="008A34F8" w:rsidRDefault="000A3F2E" w:rsidP="000A3F2E">
      <w:pPr>
        <w:pStyle w:val="ListParagraph"/>
        <w:widowControl w:val="0"/>
        <w:numPr>
          <w:ilvl w:val="0"/>
          <w:numId w:val="31"/>
        </w:numPr>
        <w:autoSpaceDE w:val="0"/>
        <w:autoSpaceDN w:val="0"/>
        <w:adjustRightInd w:val="0"/>
        <w:snapToGrid w:val="0"/>
        <w:contextualSpacing w:val="0"/>
        <w:rPr>
          <w:rFonts w:asciiTheme="minorHAnsi" w:hAnsiTheme="minorHAnsi" w:cstheme="minorHAnsi"/>
          <w:color w:val="000000" w:themeColor="text1"/>
        </w:rPr>
      </w:pPr>
      <w:r w:rsidRPr="008A34F8">
        <w:rPr>
          <w:rFonts w:asciiTheme="minorHAnsi" w:hAnsiTheme="minorHAnsi" w:cstheme="minorHAnsi"/>
          <w:color w:val="000000" w:themeColor="text1"/>
        </w:rPr>
        <w:t>Improved estimates of life history parameters including growth, maturity, and natural mortality. Verify the aging method used to derive the growth relationship in order to inform meta analyses for M and steepness specific to SWPO striped marlin. Additionally, efforts should be made to increase sampling of smaller individuals.</w:t>
      </w:r>
    </w:p>
    <w:p w14:paraId="41E4F5B8" w14:textId="77777777" w:rsidR="000A3F2E" w:rsidRPr="008A34F8" w:rsidRDefault="000A3F2E" w:rsidP="000A3F2E">
      <w:pPr>
        <w:pStyle w:val="ListParagraph"/>
        <w:widowControl w:val="0"/>
        <w:numPr>
          <w:ilvl w:val="0"/>
          <w:numId w:val="31"/>
        </w:numPr>
        <w:autoSpaceDE w:val="0"/>
        <w:autoSpaceDN w:val="0"/>
        <w:adjustRightInd w:val="0"/>
        <w:snapToGrid w:val="0"/>
        <w:contextualSpacing w:val="0"/>
        <w:rPr>
          <w:rFonts w:asciiTheme="minorHAnsi" w:hAnsiTheme="minorHAnsi" w:cstheme="minorHAnsi"/>
          <w:color w:val="000000" w:themeColor="text1"/>
        </w:rPr>
      </w:pPr>
      <w:r w:rsidRPr="008A34F8">
        <w:rPr>
          <w:rFonts w:asciiTheme="minorHAnsi" w:hAnsiTheme="minorHAnsi" w:cstheme="minorHAnsi"/>
          <w:color w:val="000000" w:themeColor="text1"/>
        </w:rPr>
        <w:t>Better estimates of striped marlin movement (&gt;180 days) are needed to characterize mixing rates across model region in order to develop spatially explicit model structure and improve upon “areas as fleets” approach.</w:t>
      </w:r>
    </w:p>
    <w:p w14:paraId="07B35C87" w14:textId="77777777" w:rsidR="000A3F2E" w:rsidRPr="008A34F8" w:rsidRDefault="000A3F2E" w:rsidP="000A3F2E">
      <w:pPr>
        <w:pStyle w:val="ListParagraph"/>
        <w:widowControl w:val="0"/>
        <w:numPr>
          <w:ilvl w:val="0"/>
          <w:numId w:val="31"/>
        </w:numPr>
        <w:autoSpaceDE w:val="0"/>
        <w:autoSpaceDN w:val="0"/>
        <w:adjustRightInd w:val="0"/>
        <w:snapToGrid w:val="0"/>
        <w:contextualSpacing w:val="0"/>
        <w:rPr>
          <w:rFonts w:asciiTheme="minorHAnsi" w:hAnsiTheme="minorHAnsi" w:cstheme="minorHAnsi"/>
          <w:color w:val="000000" w:themeColor="text1"/>
        </w:rPr>
      </w:pPr>
      <w:r w:rsidRPr="008A34F8">
        <w:rPr>
          <w:rFonts w:asciiTheme="minorHAnsi" w:hAnsiTheme="minorHAnsi" w:cstheme="minorHAnsi"/>
          <w:color w:val="000000" w:themeColor="text1"/>
        </w:rPr>
        <w:t>Improved estimates of conversion factors (such as weight-to-length and length-to-length) are needed, together with improved length-at-age estimates to better inform the data inputs used in the stock assessment.</w:t>
      </w:r>
    </w:p>
    <w:p w14:paraId="06F161DE" w14:textId="77777777" w:rsidR="000A3F2E" w:rsidRPr="008A34F8" w:rsidRDefault="000A3F2E" w:rsidP="000A3F2E">
      <w:pPr>
        <w:pStyle w:val="ListParagraph"/>
        <w:widowControl w:val="0"/>
        <w:numPr>
          <w:ilvl w:val="0"/>
          <w:numId w:val="31"/>
        </w:numPr>
        <w:autoSpaceDE w:val="0"/>
        <w:autoSpaceDN w:val="0"/>
        <w:adjustRightInd w:val="0"/>
        <w:snapToGrid w:val="0"/>
        <w:contextualSpacing w:val="0"/>
        <w:rPr>
          <w:rFonts w:asciiTheme="minorHAnsi" w:hAnsiTheme="minorHAnsi" w:cstheme="minorHAnsi"/>
          <w:color w:val="000000" w:themeColor="text1"/>
        </w:rPr>
      </w:pPr>
      <w:r w:rsidRPr="008A34F8">
        <w:rPr>
          <w:rFonts w:asciiTheme="minorHAnsi" w:hAnsiTheme="minorHAnsi" w:cstheme="minorHAnsi"/>
          <w:color w:val="000000" w:themeColor="text1"/>
        </w:rPr>
        <w:t>Conduct sensitivities analyses with respect to the uncertainties in conversion factors used in the stock assessment and assess whether this should be included as an axis in the structural uncertainty grid.</w:t>
      </w:r>
    </w:p>
    <w:p w14:paraId="75442550" w14:textId="77777777" w:rsidR="000A3F2E" w:rsidRPr="008A34F8" w:rsidRDefault="000A3F2E" w:rsidP="000A3F2E">
      <w:pPr>
        <w:pStyle w:val="ListParagraph"/>
        <w:widowControl w:val="0"/>
        <w:numPr>
          <w:ilvl w:val="0"/>
          <w:numId w:val="31"/>
        </w:numPr>
        <w:autoSpaceDE w:val="0"/>
        <w:autoSpaceDN w:val="0"/>
        <w:adjustRightInd w:val="0"/>
        <w:snapToGrid w:val="0"/>
        <w:contextualSpacing w:val="0"/>
        <w:rPr>
          <w:rFonts w:asciiTheme="minorHAnsi" w:hAnsiTheme="minorHAnsi" w:cstheme="minorHAnsi"/>
          <w:color w:val="000000" w:themeColor="text1"/>
        </w:rPr>
      </w:pPr>
      <w:r w:rsidRPr="008A34F8">
        <w:rPr>
          <w:rFonts w:asciiTheme="minorHAnsi" w:hAnsiTheme="minorHAnsi" w:cstheme="minorHAnsi"/>
          <w:color w:val="000000" w:themeColor="text1"/>
        </w:rPr>
        <w:t xml:space="preserve">Develop better estimates of historical catch (1950-1960) to resolve the potential issue of misidentification caused by merging the </w:t>
      </w:r>
      <w:proofErr w:type="gramStart"/>
      <w:r w:rsidRPr="008A34F8">
        <w:rPr>
          <w:rFonts w:asciiTheme="minorHAnsi" w:hAnsiTheme="minorHAnsi" w:cstheme="minorHAnsi"/>
          <w:color w:val="000000" w:themeColor="text1"/>
        </w:rPr>
        <w:t>billfishes</w:t>
      </w:r>
      <w:proofErr w:type="gramEnd"/>
      <w:r w:rsidRPr="008A34F8">
        <w:rPr>
          <w:rFonts w:asciiTheme="minorHAnsi" w:hAnsiTheme="minorHAnsi" w:cstheme="minorHAnsi"/>
          <w:color w:val="000000" w:themeColor="text1"/>
        </w:rPr>
        <w:t xml:space="preserve"> datasets.</w:t>
      </w:r>
    </w:p>
    <w:p w14:paraId="52585995" w14:textId="2AD9A02C" w:rsidR="000A3F2E" w:rsidRPr="008A34F8" w:rsidRDefault="000A3F2E" w:rsidP="000A3F2E">
      <w:pPr>
        <w:pStyle w:val="ListParagraph"/>
        <w:kinsoku w:val="0"/>
        <w:overflowPunct w:val="0"/>
        <w:autoSpaceDE w:val="0"/>
        <w:autoSpaceDN w:val="0"/>
        <w:adjustRightInd w:val="0"/>
        <w:snapToGrid w:val="0"/>
        <w:contextualSpacing w:val="0"/>
        <w:rPr>
          <w:rFonts w:asciiTheme="minorHAnsi" w:hAnsiTheme="minorHAnsi" w:cstheme="minorHAnsi"/>
          <w:color w:val="000000" w:themeColor="text1"/>
        </w:rPr>
      </w:pPr>
    </w:p>
    <w:p w14:paraId="79E290E2" w14:textId="77777777" w:rsidR="00BC2B9E" w:rsidRPr="008A34F8" w:rsidRDefault="00BC2B9E" w:rsidP="000A3F2E">
      <w:pPr>
        <w:pStyle w:val="ListParagraph"/>
        <w:kinsoku w:val="0"/>
        <w:overflowPunct w:val="0"/>
        <w:autoSpaceDE w:val="0"/>
        <w:autoSpaceDN w:val="0"/>
        <w:adjustRightInd w:val="0"/>
        <w:snapToGrid w:val="0"/>
        <w:contextualSpacing w:val="0"/>
        <w:rPr>
          <w:rFonts w:asciiTheme="minorHAnsi" w:hAnsiTheme="minorHAnsi" w:cstheme="minorHAnsi"/>
          <w:color w:val="000000" w:themeColor="text1"/>
        </w:rPr>
      </w:pPr>
    </w:p>
    <w:p w14:paraId="56AC8827" w14:textId="393C0C44" w:rsidR="00C353E9" w:rsidRPr="008A34F8" w:rsidRDefault="00C353E9" w:rsidP="000A3F2E">
      <w:pPr>
        <w:pStyle w:val="Heading1"/>
        <w:adjustRightInd w:val="0"/>
        <w:snapToGrid w:val="0"/>
        <w:spacing w:before="0" w:line="240" w:lineRule="auto"/>
        <w:rPr>
          <w:rFonts w:asciiTheme="minorHAnsi" w:hAnsiTheme="minorHAnsi" w:cstheme="minorHAnsi"/>
          <w:b/>
          <w:bCs/>
        </w:rPr>
      </w:pPr>
      <w:bookmarkStart w:id="17" w:name="_Toc214283720"/>
      <w:r w:rsidRPr="008A34F8">
        <w:rPr>
          <w:rFonts w:asciiTheme="minorHAnsi" w:hAnsiTheme="minorHAnsi" w:cstheme="minorHAnsi"/>
          <w:b/>
          <w:bCs/>
        </w:rPr>
        <w:t>SC</w:t>
      </w:r>
      <w:r w:rsidR="000A3F2E" w:rsidRPr="008A34F8">
        <w:rPr>
          <w:rFonts w:asciiTheme="minorHAnsi" w:hAnsiTheme="minorHAnsi" w:cstheme="minorHAnsi"/>
          <w:b/>
          <w:bCs/>
        </w:rPr>
        <w:t>9</w:t>
      </w:r>
      <w:r w:rsidR="004403A2" w:rsidRPr="008A34F8">
        <w:rPr>
          <w:rFonts w:asciiTheme="minorHAnsi" w:hAnsiTheme="minorHAnsi" w:cstheme="minorHAnsi"/>
          <w:b/>
          <w:bCs/>
        </w:rPr>
        <w:t xml:space="preserve">, </w:t>
      </w:r>
      <w:r w:rsidR="000A3F2E" w:rsidRPr="008A34F8">
        <w:rPr>
          <w:rFonts w:asciiTheme="minorHAnsi" w:hAnsiTheme="minorHAnsi" w:cstheme="minorHAnsi"/>
          <w:b/>
          <w:bCs/>
        </w:rPr>
        <w:t>2013 – SC14</w:t>
      </w:r>
      <w:r w:rsidR="004403A2" w:rsidRPr="008A34F8">
        <w:rPr>
          <w:rFonts w:asciiTheme="minorHAnsi" w:hAnsiTheme="minorHAnsi" w:cstheme="minorHAnsi"/>
          <w:b/>
          <w:bCs/>
        </w:rPr>
        <w:t xml:space="preserve">, </w:t>
      </w:r>
      <w:r w:rsidRPr="008A34F8">
        <w:rPr>
          <w:rFonts w:asciiTheme="minorHAnsi" w:hAnsiTheme="minorHAnsi" w:cstheme="minorHAnsi"/>
          <w:b/>
          <w:bCs/>
        </w:rPr>
        <w:t>2018</w:t>
      </w:r>
      <w:r w:rsidR="000A3F2E" w:rsidRPr="008A34F8">
        <w:rPr>
          <w:rFonts w:asciiTheme="minorHAnsi" w:hAnsiTheme="minorHAnsi" w:cstheme="minorHAnsi"/>
          <w:b/>
          <w:bCs/>
        </w:rPr>
        <w:t xml:space="preserve"> (NO STOCK ASSESSMENT</w:t>
      </w:r>
      <w:r w:rsidR="004403A2" w:rsidRPr="008A34F8">
        <w:rPr>
          <w:rFonts w:asciiTheme="minorHAnsi" w:hAnsiTheme="minorHAnsi" w:cstheme="minorHAnsi"/>
          <w:b/>
          <w:bCs/>
        </w:rPr>
        <w:t>S</w:t>
      </w:r>
      <w:r w:rsidR="000A3F2E" w:rsidRPr="008A34F8">
        <w:rPr>
          <w:rFonts w:asciiTheme="minorHAnsi" w:hAnsiTheme="minorHAnsi" w:cstheme="minorHAnsi"/>
          <w:b/>
          <w:bCs/>
        </w:rPr>
        <w:t>)</w:t>
      </w:r>
      <w:bookmarkEnd w:id="17"/>
    </w:p>
    <w:p w14:paraId="51372B4F" w14:textId="77777777" w:rsidR="00C353E9" w:rsidRPr="008A34F8" w:rsidRDefault="00C353E9" w:rsidP="000A3F2E">
      <w:pPr>
        <w:tabs>
          <w:tab w:val="left" w:pos="820"/>
        </w:tabs>
        <w:adjustRightInd w:val="0"/>
        <w:snapToGrid w:val="0"/>
        <w:spacing w:after="0" w:line="240" w:lineRule="auto"/>
        <w:rPr>
          <w:rFonts w:cstheme="minorHAnsi"/>
          <w:b/>
          <w:sz w:val="24"/>
          <w:szCs w:val="24"/>
        </w:rPr>
      </w:pPr>
    </w:p>
    <w:p w14:paraId="0EB5A2CD" w14:textId="6F5050C4" w:rsidR="00C353E9" w:rsidRPr="008A34F8" w:rsidRDefault="00C353E9" w:rsidP="00BC2B9E">
      <w:pPr>
        <w:pStyle w:val="ListParagraph"/>
        <w:numPr>
          <w:ilvl w:val="0"/>
          <w:numId w:val="33"/>
        </w:numPr>
        <w:adjustRightInd w:val="0"/>
        <w:snapToGrid w:val="0"/>
        <w:ind w:left="0" w:firstLine="0"/>
        <w:rPr>
          <w:rFonts w:asciiTheme="minorHAnsi" w:hAnsiTheme="minorHAnsi" w:cstheme="minorHAnsi"/>
          <w:b/>
          <w:sz w:val="24"/>
          <w:szCs w:val="24"/>
        </w:rPr>
      </w:pPr>
      <w:r w:rsidRPr="008A34F8">
        <w:rPr>
          <w:rFonts w:asciiTheme="minorHAnsi" w:hAnsiTheme="minorHAnsi" w:cstheme="minorHAnsi"/>
          <w:b/>
          <w:sz w:val="24"/>
          <w:szCs w:val="24"/>
        </w:rPr>
        <w:t>Stock Status</w:t>
      </w:r>
    </w:p>
    <w:p w14:paraId="69334B44" w14:textId="77777777" w:rsidR="00C353E9" w:rsidRPr="008A34F8" w:rsidRDefault="00C353E9" w:rsidP="000A3F2E">
      <w:pPr>
        <w:pStyle w:val="BodyText"/>
        <w:adjustRightInd w:val="0"/>
        <w:snapToGrid w:val="0"/>
        <w:rPr>
          <w:rFonts w:asciiTheme="minorHAnsi" w:hAnsiTheme="minorHAnsi" w:cstheme="minorHAnsi"/>
        </w:rPr>
      </w:pPr>
    </w:p>
    <w:p w14:paraId="6FDB63C4" w14:textId="45D99084" w:rsidR="00C353E9" w:rsidRPr="00944E6C" w:rsidRDefault="00C353E9" w:rsidP="00BC2B9E">
      <w:pPr>
        <w:pStyle w:val="ListParagraph"/>
        <w:numPr>
          <w:ilvl w:val="3"/>
          <w:numId w:val="30"/>
        </w:numPr>
        <w:tabs>
          <w:tab w:val="left" w:pos="820"/>
        </w:tabs>
        <w:adjustRightInd w:val="0"/>
        <w:snapToGrid w:val="0"/>
        <w:ind w:left="0" w:right="116" w:firstLine="0"/>
        <w:contextualSpacing w:val="0"/>
        <w:rPr>
          <w:rFonts w:asciiTheme="minorHAnsi" w:hAnsiTheme="minorHAnsi" w:cstheme="minorHAnsi"/>
          <w:bCs/>
        </w:rPr>
      </w:pPr>
      <w:r w:rsidRPr="00944E6C">
        <w:rPr>
          <w:rFonts w:asciiTheme="minorHAnsi" w:hAnsiTheme="minorHAnsi" w:cstheme="minorHAnsi"/>
          <w:bCs/>
        </w:rPr>
        <w:lastRenderedPageBreak/>
        <w:t>SC14 noted that no stock assessments were conducted for southwest Pacific striped marlin in 2018. Therefore, the stock status descriptions from SC8 are still current for southwest Pacific striped marlin. Updated information on catches was compiled but not reviewed by</w:t>
      </w:r>
      <w:r w:rsidRPr="00944E6C">
        <w:rPr>
          <w:rFonts w:asciiTheme="minorHAnsi" w:hAnsiTheme="minorHAnsi" w:cstheme="minorHAnsi"/>
          <w:bCs/>
          <w:spacing w:val="-19"/>
        </w:rPr>
        <w:t xml:space="preserve"> </w:t>
      </w:r>
      <w:r w:rsidRPr="00944E6C">
        <w:rPr>
          <w:rFonts w:asciiTheme="minorHAnsi" w:hAnsiTheme="minorHAnsi" w:cstheme="minorHAnsi"/>
          <w:bCs/>
        </w:rPr>
        <w:t>SC14.</w:t>
      </w:r>
    </w:p>
    <w:p w14:paraId="4E8F3DE7" w14:textId="77777777" w:rsidR="00C353E9" w:rsidRPr="00944E6C" w:rsidRDefault="00C353E9" w:rsidP="000A3F2E">
      <w:pPr>
        <w:pStyle w:val="BodyText"/>
        <w:adjustRightInd w:val="0"/>
        <w:snapToGrid w:val="0"/>
        <w:rPr>
          <w:rFonts w:asciiTheme="minorHAnsi" w:hAnsiTheme="minorHAnsi" w:cstheme="minorHAnsi"/>
          <w:bCs/>
          <w:sz w:val="22"/>
          <w:szCs w:val="22"/>
        </w:rPr>
      </w:pPr>
    </w:p>
    <w:p w14:paraId="6846AFBE" w14:textId="0396BCC1" w:rsidR="00C353E9" w:rsidRPr="00944E6C" w:rsidRDefault="00C353E9" w:rsidP="00BC2B9E">
      <w:pPr>
        <w:pStyle w:val="ListParagraph"/>
        <w:numPr>
          <w:ilvl w:val="0"/>
          <w:numId w:val="33"/>
        </w:numPr>
        <w:adjustRightInd w:val="0"/>
        <w:snapToGrid w:val="0"/>
        <w:ind w:left="0" w:firstLine="0"/>
        <w:rPr>
          <w:rFonts w:asciiTheme="minorHAnsi" w:hAnsiTheme="minorHAnsi" w:cstheme="minorHAnsi"/>
          <w:b/>
        </w:rPr>
      </w:pPr>
      <w:r w:rsidRPr="00944E6C">
        <w:rPr>
          <w:rFonts w:asciiTheme="minorHAnsi" w:hAnsiTheme="minorHAnsi" w:cstheme="minorHAnsi"/>
          <w:b/>
        </w:rPr>
        <w:t>Management Advice</w:t>
      </w:r>
    </w:p>
    <w:p w14:paraId="7AD0EA48" w14:textId="77777777" w:rsidR="00C353E9" w:rsidRPr="00944E6C" w:rsidRDefault="00C353E9" w:rsidP="000A3F2E">
      <w:pPr>
        <w:pStyle w:val="BodyText"/>
        <w:adjustRightInd w:val="0"/>
        <w:snapToGrid w:val="0"/>
        <w:rPr>
          <w:rFonts w:asciiTheme="minorHAnsi" w:hAnsiTheme="minorHAnsi" w:cstheme="minorHAnsi"/>
          <w:sz w:val="22"/>
          <w:szCs w:val="22"/>
        </w:rPr>
      </w:pPr>
    </w:p>
    <w:p w14:paraId="3BB8B954" w14:textId="68CF1C1D" w:rsidR="00C353E9" w:rsidRPr="00944E6C" w:rsidRDefault="00C353E9" w:rsidP="00BC2B9E">
      <w:pPr>
        <w:pStyle w:val="ListParagraph"/>
        <w:numPr>
          <w:ilvl w:val="3"/>
          <w:numId w:val="30"/>
        </w:numPr>
        <w:tabs>
          <w:tab w:val="left" w:pos="820"/>
        </w:tabs>
        <w:adjustRightInd w:val="0"/>
        <w:snapToGrid w:val="0"/>
        <w:ind w:left="0" w:right="116" w:firstLine="0"/>
        <w:contextualSpacing w:val="0"/>
        <w:rPr>
          <w:rFonts w:asciiTheme="minorHAnsi" w:hAnsiTheme="minorHAnsi" w:cstheme="minorHAnsi"/>
          <w:bCs/>
        </w:rPr>
      </w:pPr>
      <w:r w:rsidRPr="00944E6C">
        <w:rPr>
          <w:rFonts w:asciiTheme="minorHAnsi" w:hAnsiTheme="minorHAnsi" w:cstheme="minorHAnsi"/>
          <w:bCs/>
        </w:rPr>
        <w:t xml:space="preserve">SC14 noted that no management advice has been provided since SC8 for southwest Pacific striped marlin. Therefore, previous advice should be maintained, pending a new assessment or other new information. </w:t>
      </w:r>
      <w:r w:rsidRPr="00944E6C">
        <w:rPr>
          <w:rFonts w:asciiTheme="minorHAnsi" w:hAnsiTheme="minorHAnsi" w:cstheme="minorHAnsi"/>
          <w:bCs/>
          <w:lang w:val="en-AU"/>
        </w:rPr>
        <w:t>For further information on the management advice and implications from SC8, please see below.</w:t>
      </w:r>
    </w:p>
    <w:p w14:paraId="4422AEC8" w14:textId="77777777" w:rsidR="00382AC3" w:rsidRPr="008A34F8" w:rsidRDefault="00382AC3" w:rsidP="000A3F2E">
      <w:pPr>
        <w:adjustRightInd w:val="0"/>
        <w:snapToGrid w:val="0"/>
        <w:spacing w:after="0" w:line="240" w:lineRule="auto"/>
        <w:rPr>
          <w:rFonts w:cstheme="minorHAnsi"/>
        </w:rPr>
      </w:pPr>
      <w:bookmarkStart w:id="18" w:name="_Hlk497292823"/>
    </w:p>
    <w:p w14:paraId="4B32670E" w14:textId="77777777" w:rsidR="00BC2B9E" w:rsidRPr="008A34F8" w:rsidRDefault="00BC2B9E">
      <w:pPr>
        <w:rPr>
          <w:rFonts w:eastAsia="MS Mincho" w:cstheme="minorHAnsi"/>
          <w:color w:val="2F5496" w:themeColor="accent1" w:themeShade="BF"/>
          <w:sz w:val="32"/>
          <w:szCs w:val="32"/>
          <w:lang w:val="en-NZ" w:eastAsia="en-NZ"/>
        </w:rPr>
      </w:pPr>
      <w:bookmarkStart w:id="19" w:name="_Toc495323856"/>
      <w:bookmarkStart w:id="20" w:name="_Hlk514925603"/>
      <w:bookmarkEnd w:id="18"/>
      <w:r w:rsidRPr="008A34F8">
        <w:rPr>
          <w:rFonts w:eastAsia="MS Mincho" w:cstheme="minorHAnsi"/>
          <w:lang w:val="en-NZ" w:eastAsia="en-NZ"/>
        </w:rPr>
        <w:br w:type="page"/>
      </w:r>
    </w:p>
    <w:p w14:paraId="019807C0" w14:textId="32FDBC6D" w:rsidR="005C7178" w:rsidRPr="008A34F8" w:rsidRDefault="005C7178" w:rsidP="000A3F2E">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21" w:name="_Toc214283721"/>
      <w:r w:rsidRPr="008A34F8">
        <w:rPr>
          <w:rFonts w:asciiTheme="minorHAnsi" w:eastAsia="MS Mincho" w:hAnsiTheme="minorHAnsi" w:cstheme="minorHAnsi"/>
          <w:b/>
          <w:bCs/>
          <w:caps/>
          <w:sz w:val="28"/>
          <w:szCs w:val="28"/>
          <w:lang w:val="en-NZ" w:eastAsia="en-NZ"/>
        </w:rPr>
        <w:lastRenderedPageBreak/>
        <w:t>Useful References</w:t>
      </w:r>
      <w:bookmarkEnd w:id="19"/>
      <w:bookmarkEnd w:id="21"/>
    </w:p>
    <w:bookmarkEnd w:id="20"/>
    <w:p w14:paraId="406E031A" w14:textId="77777777" w:rsidR="005C7178" w:rsidRPr="008A34F8" w:rsidRDefault="005C7178" w:rsidP="000A3F2E">
      <w:pPr>
        <w:autoSpaceDE w:val="0"/>
        <w:autoSpaceDN w:val="0"/>
        <w:adjustRightInd w:val="0"/>
        <w:snapToGrid w:val="0"/>
        <w:spacing w:after="0" w:line="240" w:lineRule="auto"/>
        <w:jc w:val="both"/>
        <w:rPr>
          <w:rFonts w:eastAsia="MS Mincho" w:cstheme="minorHAnsi"/>
          <w:color w:val="000000"/>
          <w:lang w:val="en-NZ" w:eastAsia="en-NZ"/>
        </w:rPr>
      </w:pPr>
    </w:p>
    <w:p w14:paraId="4FE68D33" w14:textId="769A9C8C" w:rsidR="00421EB3" w:rsidRDefault="00BD58E7" w:rsidP="00421EB3">
      <w:pPr>
        <w:autoSpaceDE w:val="0"/>
        <w:autoSpaceDN w:val="0"/>
        <w:adjustRightInd w:val="0"/>
        <w:snapToGrid w:val="0"/>
        <w:spacing w:after="0" w:line="240" w:lineRule="auto"/>
        <w:jc w:val="both"/>
        <w:rPr>
          <w:rFonts w:cstheme="minorHAnsi"/>
        </w:rPr>
      </w:pPr>
      <w:r w:rsidRPr="00BD58E7">
        <w:rPr>
          <w:rFonts w:cstheme="minorHAnsi"/>
        </w:rPr>
        <w:t>SC21-SA-WP-06</w:t>
      </w:r>
      <w:r>
        <w:rPr>
          <w:rFonts w:cstheme="minorHAnsi"/>
        </w:rPr>
        <w:t xml:space="preserve"> </w:t>
      </w:r>
      <w:r w:rsidR="00421EB3" w:rsidRPr="00421EB3">
        <w:rPr>
          <w:rFonts w:cstheme="minorHAnsi"/>
        </w:rPr>
        <w:t>Revised 2024 stock assessment of striped marlin in the southwestern Pacific Ocean: Part 1- integrated assessment in Stock Synthesis (Rev.03)</w:t>
      </w:r>
      <w:r w:rsidR="007E28AF">
        <w:rPr>
          <w:rFonts w:cstheme="minorHAnsi"/>
        </w:rPr>
        <w:t xml:space="preserve">. </w:t>
      </w:r>
      <w:r w:rsidR="007E28AF" w:rsidRPr="007E28AF">
        <w:rPr>
          <w:rFonts w:cstheme="minorHAnsi"/>
        </w:rPr>
        <w:t>C. Castillo-</w:t>
      </w:r>
      <w:proofErr w:type="spellStart"/>
      <w:r w:rsidR="007E28AF" w:rsidRPr="007E28AF">
        <w:rPr>
          <w:rFonts w:cstheme="minorHAnsi"/>
        </w:rPr>
        <w:t>Jord´an</w:t>
      </w:r>
      <w:proofErr w:type="spellEnd"/>
      <w:r w:rsidR="007E28AF" w:rsidRPr="007E28AF">
        <w:rPr>
          <w:rFonts w:cstheme="minorHAnsi"/>
        </w:rPr>
        <w:t>, N. Ducharme-Barth, P. Hamer, J. Day, N. Davies, T. Peatman, K. Kim</w:t>
      </w:r>
      <w:r w:rsidR="007E28AF">
        <w:rPr>
          <w:rFonts w:cstheme="minorHAnsi"/>
        </w:rPr>
        <w:t xml:space="preserve"> </w:t>
      </w:r>
      <w:hyperlink r:id="rId28" w:history="1">
        <w:r w:rsidR="005C1E45" w:rsidRPr="001B43F4">
          <w:rPr>
            <w:rStyle w:val="Hyperlink"/>
            <w:rFonts w:cstheme="minorHAnsi"/>
          </w:rPr>
          <w:t>https://meetings.wcpfc.int/node/26682</w:t>
        </w:r>
      </w:hyperlink>
      <w:r w:rsidR="005C1E45">
        <w:rPr>
          <w:rFonts w:cstheme="minorHAnsi"/>
        </w:rPr>
        <w:t xml:space="preserve"> </w:t>
      </w:r>
    </w:p>
    <w:p w14:paraId="2C5A1513" w14:textId="77777777" w:rsidR="005C1E45" w:rsidRDefault="005C1E45" w:rsidP="00421EB3">
      <w:pPr>
        <w:autoSpaceDE w:val="0"/>
        <w:autoSpaceDN w:val="0"/>
        <w:adjustRightInd w:val="0"/>
        <w:snapToGrid w:val="0"/>
        <w:spacing w:after="0" w:line="240" w:lineRule="auto"/>
        <w:jc w:val="both"/>
        <w:rPr>
          <w:rFonts w:cstheme="minorHAnsi"/>
        </w:rPr>
      </w:pPr>
    </w:p>
    <w:p w14:paraId="56DB027D" w14:textId="351495BC" w:rsidR="001307B7" w:rsidRPr="001307B7" w:rsidRDefault="005C1E45" w:rsidP="001307B7">
      <w:pPr>
        <w:autoSpaceDE w:val="0"/>
        <w:autoSpaceDN w:val="0"/>
        <w:adjustRightInd w:val="0"/>
        <w:snapToGrid w:val="0"/>
        <w:spacing w:after="0" w:line="240" w:lineRule="auto"/>
        <w:jc w:val="both"/>
        <w:rPr>
          <w:rFonts w:cstheme="minorHAnsi"/>
        </w:rPr>
      </w:pPr>
      <w:r w:rsidRPr="005C1E45">
        <w:rPr>
          <w:rFonts w:cstheme="minorHAnsi"/>
        </w:rPr>
        <w:t>SC21-SA-WP-07</w:t>
      </w:r>
      <w:r>
        <w:rPr>
          <w:rFonts w:cstheme="minorHAnsi"/>
        </w:rPr>
        <w:t xml:space="preserve"> </w:t>
      </w:r>
      <w:r w:rsidR="001307B7" w:rsidRPr="001307B7">
        <w:rPr>
          <w:rFonts w:cstheme="minorHAnsi"/>
        </w:rPr>
        <w:t>2025 Stock Assessment of Striped Marlin in the Southwest Pacific Ocean: Part II – Bayesian Surplus Production Model (Rev.01)</w:t>
      </w:r>
      <w:r w:rsidR="001307B7">
        <w:rPr>
          <w:rFonts w:cstheme="minorHAnsi"/>
        </w:rPr>
        <w:t xml:space="preserve">. </w:t>
      </w:r>
      <w:r w:rsidR="001307B7" w:rsidRPr="001307B7">
        <w:rPr>
          <w:rFonts w:cstheme="minorHAnsi"/>
        </w:rPr>
        <w:t>N. Ducharme-Barth, C. Castillo-Jordán, F. Carvalho, P. Hamer</w:t>
      </w:r>
      <w:r w:rsidR="001307B7">
        <w:rPr>
          <w:rFonts w:cstheme="minorHAnsi"/>
        </w:rPr>
        <w:t xml:space="preserve"> </w:t>
      </w:r>
      <w:hyperlink r:id="rId29" w:history="1">
        <w:r w:rsidR="005A4AE2" w:rsidRPr="001B43F4">
          <w:rPr>
            <w:rStyle w:val="Hyperlink"/>
            <w:rFonts w:cstheme="minorHAnsi"/>
          </w:rPr>
          <w:t>https://meetings.wcpfc.int/node/26683</w:t>
        </w:r>
      </w:hyperlink>
      <w:r w:rsidR="005A4AE2">
        <w:rPr>
          <w:rFonts w:cstheme="minorHAnsi"/>
        </w:rPr>
        <w:t xml:space="preserve"> </w:t>
      </w:r>
    </w:p>
    <w:p w14:paraId="3F31C37C" w14:textId="2AFB4702" w:rsidR="005C1E45" w:rsidRPr="00421EB3" w:rsidRDefault="005C1E45" w:rsidP="00421EB3">
      <w:pPr>
        <w:autoSpaceDE w:val="0"/>
        <w:autoSpaceDN w:val="0"/>
        <w:adjustRightInd w:val="0"/>
        <w:snapToGrid w:val="0"/>
        <w:spacing w:after="0" w:line="240" w:lineRule="auto"/>
        <w:jc w:val="both"/>
        <w:rPr>
          <w:rFonts w:cstheme="minorHAnsi"/>
        </w:rPr>
      </w:pPr>
    </w:p>
    <w:p w14:paraId="4529016A" w14:textId="4153FD59" w:rsidR="00944E6C" w:rsidRPr="00944E6C" w:rsidRDefault="00893D8D" w:rsidP="00944E6C">
      <w:pPr>
        <w:autoSpaceDE w:val="0"/>
        <w:autoSpaceDN w:val="0"/>
        <w:adjustRightInd w:val="0"/>
        <w:snapToGrid w:val="0"/>
        <w:spacing w:after="0" w:line="240" w:lineRule="auto"/>
        <w:jc w:val="both"/>
        <w:rPr>
          <w:rFonts w:cstheme="minorHAnsi"/>
        </w:rPr>
      </w:pPr>
      <w:r w:rsidRPr="00893D8D">
        <w:rPr>
          <w:rFonts w:cstheme="minorHAnsi"/>
        </w:rPr>
        <w:t>SC20-SA-WP-03</w:t>
      </w:r>
      <w:r>
        <w:rPr>
          <w:rFonts w:cstheme="minorHAnsi"/>
        </w:rPr>
        <w:t xml:space="preserve"> </w:t>
      </w:r>
      <w:r w:rsidR="00944E6C" w:rsidRPr="00944E6C">
        <w:rPr>
          <w:rFonts w:cstheme="minorHAnsi"/>
        </w:rPr>
        <w:t>Stock Assessment of Striped Marlin in the Southwest Pacific Ocean: 2024 (Rev.02)</w:t>
      </w:r>
      <w:r w:rsidR="00944E6C">
        <w:rPr>
          <w:rFonts w:cstheme="minorHAnsi"/>
        </w:rPr>
        <w:t>.</w:t>
      </w:r>
    </w:p>
    <w:p w14:paraId="1DD54C21" w14:textId="4A325591" w:rsidR="00DB18AF" w:rsidRDefault="00893D8D" w:rsidP="000A3F2E">
      <w:pPr>
        <w:autoSpaceDE w:val="0"/>
        <w:autoSpaceDN w:val="0"/>
        <w:adjustRightInd w:val="0"/>
        <w:snapToGrid w:val="0"/>
        <w:spacing w:after="0" w:line="240" w:lineRule="auto"/>
        <w:jc w:val="both"/>
        <w:rPr>
          <w:rFonts w:cstheme="minorHAnsi"/>
        </w:rPr>
      </w:pPr>
      <w:r w:rsidRPr="00893D8D">
        <w:rPr>
          <w:rFonts w:cstheme="minorHAnsi"/>
        </w:rPr>
        <w:t>C. Castillo-Jordan, J. Day, T. Teears, N. Davies, J. Hampton, S. McKechnie, A. Magnusson, T. Peatman, T. Vidal, P. Williams, and P. Hamer</w:t>
      </w:r>
      <w:r w:rsidR="00944E6C">
        <w:rPr>
          <w:rFonts w:cstheme="minorHAnsi"/>
        </w:rPr>
        <w:t xml:space="preserve"> </w:t>
      </w:r>
      <w:hyperlink r:id="rId30" w:history="1">
        <w:r w:rsidR="00944E6C" w:rsidRPr="001B43F4">
          <w:rPr>
            <w:rStyle w:val="Hyperlink"/>
            <w:rFonts w:cstheme="minorHAnsi"/>
          </w:rPr>
          <w:t>https://meetings.wcpfc.int/node/23120</w:t>
        </w:r>
      </w:hyperlink>
      <w:r w:rsidR="00944E6C">
        <w:rPr>
          <w:rFonts w:cstheme="minorHAnsi"/>
        </w:rPr>
        <w:t xml:space="preserve"> </w:t>
      </w:r>
    </w:p>
    <w:p w14:paraId="7FA4ACE0" w14:textId="77777777" w:rsidR="00893D8D" w:rsidRDefault="00893D8D" w:rsidP="000A3F2E">
      <w:pPr>
        <w:autoSpaceDE w:val="0"/>
        <w:autoSpaceDN w:val="0"/>
        <w:adjustRightInd w:val="0"/>
        <w:snapToGrid w:val="0"/>
        <w:spacing w:after="0" w:line="240" w:lineRule="auto"/>
        <w:jc w:val="both"/>
        <w:rPr>
          <w:rFonts w:cstheme="minorHAnsi"/>
          <w:lang w:val="en-AU"/>
        </w:rPr>
      </w:pPr>
    </w:p>
    <w:p w14:paraId="1F8B5DF2" w14:textId="1D7EA038" w:rsidR="007136EF" w:rsidRPr="008A34F8" w:rsidRDefault="007136EF" w:rsidP="000A3F2E">
      <w:pPr>
        <w:autoSpaceDE w:val="0"/>
        <w:autoSpaceDN w:val="0"/>
        <w:adjustRightInd w:val="0"/>
        <w:snapToGrid w:val="0"/>
        <w:spacing w:after="0" w:line="240" w:lineRule="auto"/>
        <w:jc w:val="both"/>
        <w:rPr>
          <w:rFonts w:cstheme="minorHAnsi"/>
        </w:rPr>
      </w:pPr>
      <w:r w:rsidRPr="008A34F8">
        <w:rPr>
          <w:rFonts w:cstheme="minorHAnsi"/>
          <w:lang w:val="en-AU"/>
        </w:rPr>
        <w:t xml:space="preserve">SC15-SA-WP-07 </w:t>
      </w:r>
      <w:r w:rsidRPr="008A34F8">
        <w:rPr>
          <w:rFonts w:cstheme="minorHAnsi"/>
        </w:rPr>
        <w:t xml:space="preserve">Stock assessment of SW Pacific striped marlin in the WCPO. </w:t>
      </w:r>
      <w:hyperlink r:id="rId31" w:history="1">
        <w:r w:rsidRPr="008A34F8">
          <w:rPr>
            <w:rStyle w:val="Hyperlink"/>
            <w:rFonts w:cstheme="minorHAnsi"/>
          </w:rPr>
          <w:t>https://www.wcpfc.int/node/42933</w:t>
        </w:r>
      </w:hyperlink>
    </w:p>
    <w:p w14:paraId="7BC27CCA" w14:textId="6F3A3C14" w:rsidR="007136EF" w:rsidRPr="008A34F8" w:rsidRDefault="007136EF" w:rsidP="000A3F2E">
      <w:pPr>
        <w:autoSpaceDE w:val="0"/>
        <w:autoSpaceDN w:val="0"/>
        <w:adjustRightInd w:val="0"/>
        <w:snapToGrid w:val="0"/>
        <w:spacing w:after="0" w:line="240" w:lineRule="auto"/>
        <w:jc w:val="both"/>
        <w:rPr>
          <w:rFonts w:cstheme="minorHAnsi"/>
        </w:rPr>
      </w:pPr>
    </w:p>
    <w:p w14:paraId="281FBE48" w14:textId="7915EB22" w:rsidR="007136EF" w:rsidRPr="008A34F8" w:rsidRDefault="007136EF" w:rsidP="000A3F2E">
      <w:pPr>
        <w:autoSpaceDE w:val="0"/>
        <w:autoSpaceDN w:val="0"/>
        <w:adjustRightInd w:val="0"/>
        <w:snapToGrid w:val="0"/>
        <w:spacing w:after="0" w:line="240" w:lineRule="auto"/>
        <w:jc w:val="both"/>
        <w:rPr>
          <w:rFonts w:cstheme="minorHAnsi"/>
        </w:rPr>
      </w:pPr>
      <w:r w:rsidRPr="008A34F8">
        <w:rPr>
          <w:rFonts w:cstheme="minorHAnsi"/>
          <w:lang w:val="en-AU"/>
        </w:rPr>
        <w:t xml:space="preserve">SC15-SA-IP-07 </w:t>
      </w:r>
      <w:r w:rsidRPr="008A34F8">
        <w:rPr>
          <w:rFonts w:cstheme="minorHAnsi"/>
        </w:rPr>
        <w:t xml:space="preserve">Background analyses for the 2019 stock assessment of SW Pacific striped marlin. </w:t>
      </w:r>
      <w:hyperlink r:id="rId32" w:history="1">
        <w:r w:rsidRPr="008A34F8">
          <w:rPr>
            <w:rStyle w:val="Hyperlink"/>
            <w:rFonts w:cstheme="minorHAnsi"/>
          </w:rPr>
          <w:t>https://www.wcpfc.int/node/42944</w:t>
        </w:r>
      </w:hyperlink>
    </w:p>
    <w:p w14:paraId="6B493CF1" w14:textId="73B3DFA3" w:rsidR="007136EF" w:rsidRPr="008A34F8" w:rsidRDefault="007136EF" w:rsidP="000A3F2E">
      <w:pPr>
        <w:autoSpaceDE w:val="0"/>
        <w:autoSpaceDN w:val="0"/>
        <w:adjustRightInd w:val="0"/>
        <w:snapToGrid w:val="0"/>
        <w:spacing w:after="0" w:line="240" w:lineRule="auto"/>
        <w:jc w:val="both"/>
        <w:rPr>
          <w:rFonts w:cstheme="minorHAnsi"/>
        </w:rPr>
      </w:pPr>
    </w:p>
    <w:p w14:paraId="5697543E" w14:textId="162F9A99" w:rsidR="007136EF" w:rsidRPr="008A34F8" w:rsidRDefault="007136EF" w:rsidP="000A3F2E">
      <w:pPr>
        <w:autoSpaceDE w:val="0"/>
        <w:autoSpaceDN w:val="0"/>
        <w:adjustRightInd w:val="0"/>
        <w:snapToGrid w:val="0"/>
        <w:spacing w:after="0" w:line="240" w:lineRule="auto"/>
        <w:jc w:val="both"/>
        <w:rPr>
          <w:rFonts w:cstheme="minorHAnsi"/>
          <w:lang w:val="en-AU"/>
        </w:rPr>
      </w:pPr>
      <w:r w:rsidRPr="008A34F8">
        <w:rPr>
          <w:rFonts w:cstheme="minorHAnsi"/>
          <w:lang w:val="en-AU"/>
        </w:rPr>
        <w:t xml:space="preserve">SC15-SA-IP-16 </w:t>
      </w:r>
      <w:r w:rsidRPr="008A34F8">
        <w:rPr>
          <w:rFonts w:cstheme="minorHAnsi"/>
        </w:rPr>
        <w:t xml:space="preserve">Characterisation of New Zealand striped marlin fisheries. </w:t>
      </w:r>
      <w:hyperlink r:id="rId33" w:history="1">
        <w:r w:rsidRPr="008A34F8">
          <w:rPr>
            <w:rStyle w:val="Hyperlink"/>
            <w:rFonts w:cstheme="minorHAnsi"/>
          </w:rPr>
          <w:t>https://www.wcpfc.int/node/2851</w:t>
        </w:r>
      </w:hyperlink>
    </w:p>
    <w:p w14:paraId="03B69208" w14:textId="0E0CDD21" w:rsidR="007136EF" w:rsidRPr="008A34F8" w:rsidRDefault="007136EF" w:rsidP="000A3F2E">
      <w:pPr>
        <w:autoSpaceDE w:val="0"/>
        <w:autoSpaceDN w:val="0"/>
        <w:adjustRightInd w:val="0"/>
        <w:snapToGrid w:val="0"/>
        <w:spacing w:after="0" w:line="240" w:lineRule="auto"/>
        <w:jc w:val="both"/>
        <w:rPr>
          <w:rFonts w:cstheme="minorHAnsi"/>
          <w:lang w:val="en-AU"/>
        </w:rPr>
      </w:pPr>
    </w:p>
    <w:p w14:paraId="1E8BF283" w14:textId="633740F2" w:rsidR="007136EF" w:rsidRPr="008A34F8" w:rsidRDefault="007136EF" w:rsidP="000A3F2E">
      <w:pPr>
        <w:autoSpaceDE w:val="0"/>
        <w:autoSpaceDN w:val="0"/>
        <w:adjustRightInd w:val="0"/>
        <w:snapToGrid w:val="0"/>
        <w:spacing w:after="0" w:line="240" w:lineRule="auto"/>
        <w:jc w:val="both"/>
        <w:rPr>
          <w:rFonts w:cstheme="minorHAnsi"/>
          <w:lang w:val="en-AU"/>
        </w:rPr>
      </w:pPr>
      <w:r w:rsidRPr="008A34F8">
        <w:rPr>
          <w:rFonts w:cstheme="minorHAnsi"/>
          <w:lang w:val="en-AU"/>
        </w:rPr>
        <w:t xml:space="preserve">SC15-SA-IP-18 </w:t>
      </w:r>
      <w:r w:rsidRPr="008A34F8">
        <w:rPr>
          <w:rFonts w:cstheme="minorHAnsi"/>
        </w:rPr>
        <w:t xml:space="preserve">Preliminary ageing of striped marlin in the southwest Pacific using otoliths. </w:t>
      </w:r>
      <w:hyperlink r:id="rId34" w:history="1">
        <w:r w:rsidRPr="008A34F8">
          <w:rPr>
            <w:rStyle w:val="Hyperlink"/>
            <w:rFonts w:cstheme="minorHAnsi"/>
          </w:rPr>
          <w:t>https://www.wcpfc.int/node/43330</w:t>
        </w:r>
      </w:hyperlink>
    </w:p>
    <w:p w14:paraId="4C4E265F" w14:textId="77777777" w:rsidR="007136EF" w:rsidRPr="008A34F8" w:rsidRDefault="007136EF" w:rsidP="000A3F2E">
      <w:pPr>
        <w:autoSpaceDE w:val="0"/>
        <w:autoSpaceDN w:val="0"/>
        <w:adjustRightInd w:val="0"/>
        <w:snapToGrid w:val="0"/>
        <w:spacing w:after="0" w:line="240" w:lineRule="auto"/>
        <w:jc w:val="both"/>
        <w:rPr>
          <w:rFonts w:cstheme="minorHAnsi"/>
          <w:lang w:val="en-AU"/>
        </w:rPr>
      </w:pPr>
    </w:p>
    <w:p w14:paraId="5779D8AF" w14:textId="6799662A" w:rsidR="005A5622" w:rsidRPr="008A34F8" w:rsidRDefault="00927FEF" w:rsidP="000A3F2E">
      <w:pPr>
        <w:autoSpaceDE w:val="0"/>
        <w:autoSpaceDN w:val="0"/>
        <w:adjustRightInd w:val="0"/>
        <w:snapToGrid w:val="0"/>
        <w:spacing w:after="0" w:line="240" w:lineRule="auto"/>
        <w:jc w:val="both"/>
        <w:rPr>
          <w:rFonts w:cstheme="minorHAnsi"/>
          <w:lang w:val="en-AU"/>
        </w:rPr>
      </w:pPr>
      <w:r w:rsidRPr="008A34F8">
        <w:rPr>
          <w:rFonts w:cstheme="minorHAnsi"/>
          <w:lang w:val="en-AU"/>
        </w:rPr>
        <w:t xml:space="preserve">SC9-SA-WP-07 </w:t>
      </w:r>
      <w:r w:rsidR="005A5622" w:rsidRPr="008A34F8">
        <w:rPr>
          <w:rFonts w:cstheme="minorHAnsi"/>
          <w:lang w:val="en-AU"/>
        </w:rPr>
        <w:t>Distribution of longline catches for southwest Pacific striped marlin.</w:t>
      </w:r>
    </w:p>
    <w:p w14:paraId="787A8784" w14:textId="77777777" w:rsidR="00E15B3B" w:rsidRPr="008A34F8" w:rsidRDefault="005A5622" w:rsidP="000A3F2E">
      <w:pPr>
        <w:autoSpaceDE w:val="0"/>
        <w:autoSpaceDN w:val="0"/>
        <w:adjustRightInd w:val="0"/>
        <w:snapToGrid w:val="0"/>
        <w:spacing w:after="0" w:line="240" w:lineRule="auto"/>
        <w:jc w:val="both"/>
        <w:rPr>
          <w:rFonts w:cstheme="minorHAnsi"/>
          <w:lang w:val="en-AU"/>
        </w:rPr>
      </w:pPr>
      <w:hyperlink r:id="rId35" w:history="1">
        <w:r w:rsidRPr="008A34F8">
          <w:rPr>
            <w:rStyle w:val="Hyperlink"/>
            <w:rFonts w:cstheme="minorHAnsi"/>
            <w:lang w:val="en-AU"/>
          </w:rPr>
          <w:t>https://www.wcpfc.int/node/3704</w:t>
        </w:r>
      </w:hyperlink>
      <w:r w:rsidRPr="008A34F8">
        <w:rPr>
          <w:rFonts w:cstheme="minorHAnsi"/>
          <w:lang w:val="en-AU"/>
        </w:rPr>
        <w:t xml:space="preserve"> </w:t>
      </w:r>
    </w:p>
    <w:p w14:paraId="0FADB9E8" w14:textId="77777777" w:rsidR="005C7178" w:rsidRPr="008A34F8" w:rsidRDefault="005C7178" w:rsidP="000A3F2E">
      <w:pPr>
        <w:autoSpaceDE w:val="0"/>
        <w:autoSpaceDN w:val="0"/>
        <w:adjustRightInd w:val="0"/>
        <w:snapToGrid w:val="0"/>
        <w:spacing w:after="0" w:line="240" w:lineRule="auto"/>
        <w:jc w:val="both"/>
        <w:rPr>
          <w:rFonts w:eastAsia="MS Mincho" w:cstheme="minorHAnsi"/>
          <w:color w:val="000000"/>
          <w:lang w:val="en-NZ" w:eastAsia="en-NZ"/>
        </w:rPr>
      </w:pPr>
    </w:p>
    <w:p w14:paraId="16C1C2F0" w14:textId="02F140F6" w:rsidR="003C6D37" w:rsidRPr="008A34F8" w:rsidRDefault="003C6D37" w:rsidP="000A3F2E">
      <w:pPr>
        <w:autoSpaceDE w:val="0"/>
        <w:autoSpaceDN w:val="0"/>
        <w:adjustRightInd w:val="0"/>
        <w:snapToGrid w:val="0"/>
        <w:spacing w:after="0" w:line="240" w:lineRule="auto"/>
        <w:jc w:val="both"/>
        <w:rPr>
          <w:rFonts w:eastAsia="MS Mincho" w:cstheme="minorHAnsi"/>
          <w:color w:val="000000"/>
          <w:lang w:val="en-NZ" w:eastAsia="en-NZ"/>
        </w:rPr>
      </w:pPr>
      <w:r w:rsidRPr="008A34F8">
        <w:rPr>
          <w:rFonts w:eastAsia="MS Mincho" w:cstheme="minorHAnsi"/>
          <w:color w:val="000000"/>
          <w:lang w:val="en-NZ" w:eastAsia="en-NZ"/>
        </w:rPr>
        <w:t>SC8-SA-WP</w:t>
      </w:r>
      <w:r w:rsidR="00172B89" w:rsidRPr="008A34F8">
        <w:rPr>
          <w:rFonts w:eastAsia="MS Mincho" w:cstheme="minorHAnsi"/>
          <w:color w:val="000000"/>
          <w:lang w:val="en-NZ" w:eastAsia="en-NZ"/>
        </w:rPr>
        <w:t>-</w:t>
      </w:r>
      <w:r w:rsidRPr="008A34F8">
        <w:rPr>
          <w:rFonts w:eastAsia="MS Mincho" w:cstheme="minorHAnsi"/>
          <w:color w:val="000000"/>
          <w:lang w:val="en-NZ" w:eastAsia="en-NZ"/>
        </w:rPr>
        <w:t>05</w:t>
      </w:r>
      <w:r w:rsidR="00172B89" w:rsidRPr="008A34F8">
        <w:rPr>
          <w:rFonts w:eastAsia="MS Mincho" w:cstheme="minorHAnsi"/>
          <w:color w:val="000000"/>
          <w:lang w:val="en-NZ" w:eastAsia="en-NZ"/>
        </w:rPr>
        <w:t xml:space="preserve"> Stock Assessment of Striped Marlin (Kajikia audax) in the Southwest Pacific Ocean. </w:t>
      </w:r>
      <w:hyperlink r:id="rId36" w:history="1">
        <w:r w:rsidR="00172B89" w:rsidRPr="008A34F8">
          <w:rPr>
            <w:rStyle w:val="Hyperlink"/>
            <w:rFonts w:eastAsia="MS Mincho" w:cstheme="minorHAnsi"/>
            <w:lang w:val="en-NZ" w:eastAsia="en-NZ"/>
          </w:rPr>
          <w:t>https://www.wcpfc.int/node/3234</w:t>
        </w:r>
      </w:hyperlink>
      <w:r w:rsidR="00172B89" w:rsidRPr="008A34F8">
        <w:rPr>
          <w:rFonts w:eastAsia="MS Mincho" w:cstheme="minorHAnsi"/>
          <w:color w:val="000000"/>
          <w:lang w:val="en-NZ" w:eastAsia="en-NZ"/>
        </w:rPr>
        <w:t xml:space="preserve"> </w:t>
      </w:r>
    </w:p>
    <w:p w14:paraId="226039DF" w14:textId="77777777" w:rsidR="004D4890" w:rsidRPr="008A34F8" w:rsidRDefault="004D4890" w:rsidP="000A3F2E">
      <w:pPr>
        <w:autoSpaceDE w:val="0"/>
        <w:autoSpaceDN w:val="0"/>
        <w:adjustRightInd w:val="0"/>
        <w:snapToGrid w:val="0"/>
        <w:spacing w:after="0" w:line="240" w:lineRule="auto"/>
        <w:jc w:val="both"/>
        <w:rPr>
          <w:rFonts w:eastAsia="MS Mincho" w:cstheme="minorHAnsi"/>
          <w:color w:val="000000"/>
          <w:lang w:val="en-NZ" w:eastAsia="en-NZ"/>
        </w:rPr>
      </w:pPr>
    </w:p>
    <w:p w14:paraId="742D6C4D" w14:textId="77777777" w:rsidR="004D4890" w:rsidRPr="008A34F8" w:rsidRDefault="004D4890" w:rsidP="000A3F2E">
      <w:pPr>
        <w:adjustRightInd w:val="0"/>
        <w:snapToGrid w:val="0"/>
        <w:spacing w:after="0" w:line="240" w:lineRule="auto"/>
        <w:rPr>
          <w:rFonts w:cstheme="minorHAnsi"/>
          <w:lang w:val="en-NZ" w:eastAsia="en-NZ"/>
        </w:rPr>
      </w:pPr>
      <w:r w:rsidRPr="008A34F8">
        <w:rPr>
          <w:rFonts w:cstheme="minorHAnsi"/>
          <w:lang w:val="en-NZ" w:eastAsia="en-NZ"/>
        </w:rPr>
        <w:t>SC2-SA-WP-06 Stock assessment of striped marlin (</w:t>
      </w:r>
      <w:proofErr w:type="spellStart"/>
      <w:r w:rsidRPr="00DB18AF">
        <w:rPr>
          <w:rFonts w:cstheme="minorHAnsi"/>
          <w:i/>
          <w:iCs/>
          <w:lang w:val="en-NZ" w:eastAsia="en-NZ"/>
        </w:rPr>
        <w:t>Tetrapturus</w:t>
      </w:r>
      <w:proofErr w:type="spellEnd"/>
      <w:r w:rsidRPr="00DB18AF">
        <w:rPr>
          <w:rFonts w:cstheme="minorHAnsi"/>
          <w:i/>
          <w:iCs/>
          <w:lang w:val="en-NZ" w:eastAsia="en-NZ"/>
        </w:rPr>
        <w:t xml:space="preserve"> audax</w:t>
      </w:r>
      <w:r w:rsidRPr="008A34F8">
        <w:rPr>
          <w:rFonts w:cstheme="minorHAnsi"/>
          <w:lang w:val="en-NZ" w:eastAsia="en-NZ"/>
        </w:rPr>
        <w:t xml:space="preserve">) in the southwest Pacific Ocean. </w:t>
      </w:r>
      <w:hyperlink r:id="rId37" w:history="1">
        <w:r w:rsidRPr="008A34F8">
          <w:rPr>
            <w:rStyle w:val="Hyperlink"/>
            <w:rFonts w:cstheme="minorHAnsi"/>
            <w:lang w:val="en-NZ" w:eastAsia="en-NZ"/>
          </w:rPr>
          <w:t>https://wcpfc.int/meetings/2nd-regular-session</w:t>
        </w:r>
      </w:hyperlink>
      <w:r w:rsidRPr="008A34F8">
        <w:rPr>
          <w:rFonts w:cstheme="minorHAnsi"/>
          <w:lang w:val="en-NZ" w:eastAsia="en-NZ"/>
        </w:rPr>
        <w:t xml:space="preserve"> </w:t>
      </w:r>
    </w:p>
    <w:p w14:paraId="0DA0B8EB" w14:textId="77777777" w:rsidR="004D4890" w:rsidRPr="008A34F8" w:rsidRDefault="004D4890" w:rsidP="000A3F2E">
      <w:pPr>
        <w:adjustRightInd w:val="0"/>
        <w:snapToGrid w:val="0"/>
        <w:spacing w:after="0" w:line="240" w:lineRule="auto"/>
        <w:rPr>
          <w:rFonts w:cstheme="minorHAnsi"/>
          <w:lang w:val="en-NZ" w:eastAsia="en-NZ"/>
        </w:rPr>
      </w:pPr>
    </w:p>
    <w:p w14:paraId="69E2B50F" w14:textId="77777777" w:rsidR="004D4890" w:rsidRPr="008A34F8" w:rsidRDefault="004D4890" w:rsidP="000A3F2E">
      <w:pPr>
        <w:autoSpaceDE w:val="0"/>
        <w:autoSpaceDN w:val="0"/>
        <w:adjustRightInd w:val="0"/>
        <w:snapToGrid w:val="0"/>
        <w:spacing w:after="0" w:line="240" w:lineRule="auto"/>
        <w:jc w:val="both"/>
        <w:rPr>
          <w:rFonts w:eastAsia="MS Mincho" w:cstheme="minorHAnsi"/>
          <w:color w:val="000000"/>
          <w:lang w:val="en-NZ" w:eastAsia="en-NZ"/>
        </w:rPr>
      </w:pPr>
    </w:p>
    <w:sectPr w:rsidR="004D4890" w:rsidRPr="008A34F8" w:rsidSect="00400113">
      <w:footerReference w:type="default" r:id="rId38"/>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C7C65" w14:textId="77777777" w:rsidR="007C2FB0" w:rsidRDefault="007C2FB0" w:rsidP="005C2B8D">
      <w:pPr>
        <w:spacing w:after="0" w:line="240" w:lineRule="auto"/>
      </w:pPr>
      <w:r>
        <w:separator/>
      </w:r>
    </w:p>
  </w:endnote>
  <w:endnote w:type="continuationSeparator" w:id="0">
    <w:p w14:paraId="03419FED" w14:textId="77777777" w:rsidR="007C2FB0" w:rsidRDefault="007C2FB0"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724206"/>
      <w:docPartObj>
        <w:docPartGallery w:val="Page Numbers (Bottom of Page)"/>
        <w:docPartUnique/>
      </w:docPartObj>
    </w:sdtPr>
    <w:sdtEndPr>
      <w:rPr>
        <w:noProof/>
      </w:rPr>
    </w:sdtEndPr>
    <w:sdtContent>
      <w:p w14:paraId="2DD8E559" w14:textId="38F87FA6" w:rsidR="006E3570" w:rsidRDefault="006E35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B71587" w14:textId="77777777" w:rsidR="006E3570" w:rsidRDefault="006E3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53592"/>
      <w:docPartObj>
        <w:docPartGallery w:val="Page Numbers (Bottom of Page)"/>
        <w:docPartUnique/>
      </w:docPartObj>
    </w:sdtPr>
    <w:sdtEndPr>
      <w:rPr>
        <w:noProof/>
      </w:rPr>
    </w:sdtEndPr>
    <w:sdtContent>
      <w:p w14:paraId="61730A6C" w14:textId="77777777" w:rsidR="00550074" w:rsidRDefault="00550074">
        <w:pPr>
          <w:pStyle w:val="Footer"/>
          <w:jc w:val="center"/>
        </w:pPr>
        <w:r>
          <w:fldChar w:fldCharType="begin"/>
        </w:r>
        <w:r>
          <w:instrText xml:space="preserve"> PAGE   \* MERGEFORMAT </w:instrText>
        </w:r>
        <w:r>
          <w:fldChar w:fldCharType="separate"/>
        </w:r>
        <w:r w:rsidR="007154EA">
          <w:rPr>
            <w:noProof/>
          </w:rPr>
          <w:t>1</w:t>
        </w:r>
        <w:r>
          <w:rPr>
            <w:noProof/>
          </w:rPr>
          <w:fldChar w:fldCharType="end"/>
        </w:r>
      </w:p>
    </w:sdtContent>
  </w:sdt>
  <w:p w14:paraId="1563BABD"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3E5A" w14:textId="77777777" w:rsidR="007C2FB0" w:rsidRDefault="007C2FB0" w:rsidP="005C2B8D">
      <w:pPr>
        <w:spacing w:after="0" w:line="240" w:lineRule="auto"/>
      </w:pPr>
      <w:r>
        <w:separator/>
      </w:r>
    </w:p>
  </w:footnote>
  <w:footnote w:type="continuationSeparator" w:id="0">
    <w:p w14:paraId="02CFE932" w14:textId="77777777" w:rsidR="007C2FB0" w:rsidRDefault="007C2FB0"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7E3"/>
    <w:multiLevelType w:val="hybridMultilevel"/>
    <w:tmpl w:val="F62CBC14"/>
    <w:lvl w:ilvl="0" w:tplc="67DCEF26">
      <w:start w:val="1"/>
      <w:numFmt w:val="decimal"/>
      <w:pStyle w:val="WCPFCnormal"/>
      <w:lvlText w:val="%1."/>
      <w:lvlJc w:val="left"/>
      <w:pPr>
        <w:ind w:left="720" w:hanging="360"/>
      </w:pPr>
      <w:rPr>
        <w:rFonts w:ascii="Calibri" w:hAnsi="Calibri" w:hint="default"/>
        <w:b w:val="0"/>
        <w:i w:val="0"/>
        <w:sz w:val="22"/>
      </w:rPr>
    </w:lvl>
    <w:lvl w:ilvl="1" w:tplc="ADBA460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F63F43"/>
    <w:multiLevelType w:val="hybridMultilevel"/>
    <w:tmpl w:val="6C98841A"/>
    <w:lvl w:ilvl="0" w:tplc="9E5E0E0A">
      <w:start w:val="36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F6120"/>
    <w:multiLevelType w:val="hybridMultilevel"/>
    <w:tmpl w:val="97C27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B5353"/>
    <w:multiLevelType w:val="hybridMultilevel"/>
    <w:tmpl w:val="C3A043AA"/>
    <w:lvl w:ilvl="0" w:tplc="8BCC90F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0FE45AFF"/>
    <w:multiLevelType w:val="hybridMultilevel"/>
    <w:tmpl w:val="591E47D2"/>
    <w:lvl w:ilvl="0" w:tplc="A29A87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976F2"/>
    <w:multiLevelType w:val="multilevel"/>
    <w:tmpl w:val="1F848388"/>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heme="minorHAnsi" w:hAnsiTheme="minorHAnsi" w:cstheme="minorHAnsi"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561173"/>
    <w:multiLevelType w:val="multilevel"/>
    <w:tmpl w:val="4650F530"/>
    <w:lvl w:ilvl="0">
      <w:start w:val="4"/>
      <w:numFmt w:val="decimal"/>
      <w:lvlText w:val="%1"/>
      <w:lvlJc w:val="left"/>
      <w:pPr>
        <w:ind w:left="612" w:hanging="612"/>
      </w:pPr>
      <w:rPr>
        <w:rFonts w:hint="default"/>
      </w:rPr>
    </w:lvl>
    <w:lvl w:ilvl="1">
      <w:start w:val="5"/>
      <w:numFmt w:val="decimal"/>
      <w:lvlText w:val="%1.%2"/>
      <w:lvlJc w:val="left"/>
      <w:pPr>
        <w:ind w:left="852" w:hanging="612"/>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8" w15:restartNumberingAfterBreak="0">
    <w:nsid w:val="140774C8"/>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741BF"/>
    <w:multiLevelType w:val="hybridMultilevel"/>
    <w:tmpl w:val="E6EEF294"/>
    <w:lvl w:ilvl="0" w:tplc="04090017">
      <w:start w:val="1"/>
      <w:numFmt w:val="lowerLetter"/>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6763AFD"/>
    <w:multiLevelType w:val="hybridMultilevel"/>
    <w:tmpl w:val="5308CCC4"/>
    <w:lvl w:ilvl="0" w:tplc="E8E2DD8E">
      <w:start w:val="37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6EC"/>
    <w:multiLevelType w:val="hybridMultilevel"/>
    <w:tmpl w:val="48540C48"/>
    <w:lvl w:ilvl="0" w:tplc="8B002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C39F0"/>
    <w:multiLevelType w:val="hybridMultilevel"/>
    <w:tmpl w:val="DB3AD75A"/>
    <w:lvl w:ilvl="0" w:tplc="35CADB86">
      <w:start w:val="36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13992"/>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09250E"/>
    <w:multiLevelType w:val="hybridMultilevel"/>
    <w:tmpl w:val="1ACC796E"/>
    <w:lvl w:ilvl="0" w:tplc="C6182F76">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B334C78"/>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D58C0"/>
    <w:multiLevelType w:val="hybridMultilevel"/>
    <w:tmpl w:val="4C3876F8"/>
    <w:lvl w:ilvl="0" w:tplc="0032E498">
      <w:start w:val="47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8" w15:restartNumberingAfterBreak="0">
    <w:nsid w:val="44844032"/>
    <w:multiLevelType w:val="hybridMultilevel"/>
    <w:tmpl w:val="38547C34"/>
    <w:lvl w:ilvl="0" w:tplc="1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6EE6D6A"/>
    <w:multiLevelType w:val="multilevel"/>
    <w:tmpl w:val="79DC7FAE"/>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5605ED"/>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AC30B7"/>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9C2184"/>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4156C52"/>
    <w:multiLevelType w:val="hybridMultilevel"/>
    <w:tmpl w:val="9D705F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7D709BA"/>
    <w:multiLevelType w:val="hybridMultilevel"/>
    <w:tmpl w:val="A4446AA6"/>
    <w:lvl w:ilvl="0" w:tplc="0C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C0D20"/>
    <w:multiLevelType w:val="hybridMultilevel"/>
    <w:tmpl w:val="00FE68BC"/>
    <w:lvl w:ilvl="0" w:tplc="0994AC50">
      <w:start w:val="287"/>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9" w15:restartNumberingAfterBreak="0">
    <w:nsid w:val="665E6A11"/>
    <w:multiLevelType w:val="hybridMultilevel"/>
    <w:tmpl w:val="AEE88892"/>
    <w:lvl w:ilvl="0" w:tplc="6958DAC8">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0" w15:restartNumberingAfterBreak="0">
    <w:nsid w:val="69512351"/>
    <w:multiLevelType w:val="hybridMultilevel"/>
    <w:tmpl w:val="EC6A2188"/>
    <w:lvl w:ilvl="0" w:tplc="61BA883C">
      <w:start w:val="206"/>
      <w:numFmt w:val="decimal"/>
      <w:lvlText w:val="%1."/>
      <w:lvlJc w:val="left"/>
      <w:pPr>
        <w:ind w:left="630" w:hanging="360"/>
      </w:pPr>
      <w:rPr>
        <w:rFonts w:hint="default"/>
      </w:rPr>
    </w:lvl>
    <w:lvl w:ilvl="1" w:tplc="0C090001">
      <w:start w:val="1"/>
      <w:numFmt w:val="bullet"/>
      <w:lvlText w:val=""/>
      <w:lvlJc w:val="left"/>
      <w:pPr>
        <w:ind w:left="1440" w:hanging="360"/>
      </w:pPr>
      <w:rPr>
        <w:rFonts w:ascii="Symbol" w:hAnsi="Symbol"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9D722CF"/>
    <w:multiLevelType w:val="hybridMultilevel"/>
    <w:tmpl w:val="4A10D7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E3830E2"/>
    <w:multiLevelType w:val="hybridMultilevel"/>
    <w:tmpl w:val="1C147844"/>
    <w:lvl w:ilvl="0" w:tplc="C3123C32">
      <w:start w:val="1"/>
      <w:numFmt w:val="lowerLetter"/>
      <w:lvlText w:val="%1."/>
      <w:lvlJc w:val="left"/>
      <w:pPr>
        <w:ind w:left="1080" w:hanging="720"/>
      </w:pPr>
      <w:rPr>
        <w:rFonts w:hint="default"/>
      </w:rPr>
    </w:lvl>
    <w:lvl w:ilvl="1" w:tplc="04090017"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7736232F"/>
    <w:multiLevelType w:val="hybridMultilevel"/>
    <w:tmpl w:val="1868C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9615A1"/>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6735483">
    <w:abstractNumId w:val="22"/>
  </w:num>
  <w:num w:numId="2" w16cid:durableId="485321180">
    <w:abstractNumId w:val="15"/>
  </w:num>
  <w:num w:numId="3" w16cid:durableId="1335887212">
    <w:abstractNumId w:val="10"/>
  </w:num>
  <w:num w:numId="4" w16cid:durableId="440536479">
    <w:abstractNumId w:val="20"/>
  </w:num>
  <w:num w:numId="5" w16cid:durableId="1834681281">
    <w:abstractNumId w:val="4"/>
  </w:num>
  <w:num w:numId="6" w16cid:durableId="1269965619">
    <w:abstractNumId w:val="15"/>
    <w:lvlOverride w:ilvl="0">
      <w:startOverride w:val="393"/>
    </w:lvlOverride>
  </w:num>
  <w:num w:numId="7" w16cid:durableId="2050759485">
    <w:abstractNumId w:val="21"/>
  </w:num>
  <w:num w:numId="8" w16cid:durableId="1542208615">
    <w:abstractNumId w:val="23"/>
  </w:num>
  <w:num w:numId="9" w16cid:durableId="1109661511">
    <w:abstractNumId w:val="29"/>
  </w:num>
  <w:num w:numId="10" w16cid:durableId="302127218">
    <w:abstractNumId w:val="18"/>
  </w:num>
  <w:num w:numId="11" w16cid:durableId="1879197755">
    <w:abstractNumId w:val="34"/>
  </w:num>
  <w:num w:numId="12" w16cid:durableId="1560246425">
    <w:abstractNumId w:val="15"/>
  </w:num>
  <w:num w:numId="13" w16cid:durableId="343240202">
    <w:abstractNumId w:val="14"/>
  </w:num>
  <w:num w:numId="14" w16cid:durableId="1493713243">
    <w:abstractNumId w:val="16"/>
  </w:num>
  <w:num w:numId="15" w16cid:durableId="501552972">
    <w:abstractNumId w:val="24"/>
  </w:num>
  <w:num w:numId="16" w16cid:durableId="1164082945">
    <w:abstractNumId w:val="27"/>
  </w:num>
  <w:num w:numId="17" w16cid:durableId="1718042519">
    <w:abstractNumId w:val="12"/>
  </w:num>
  <w:num w:numId="18" w16cid:durableId="882788357">
    <w:abstractNumId w:val="8"/>
  </w:num>
  <w:num w:numId="19" w16cid:durableId="1617835418">
    <w:abstractNumId w:val="11"/>
  </w:num>
  <w:num w:numId="20" w16cid:durableId="1024676209">
    <w:abstractNumId w:val="13"/>
  </w:num>
  <w:num w:numId="21" w16cid:durableId="799422373">
    <w:abstractNumId w:val="1"/>
  </w:num>
  <w:num w:numId="22" w16cid:durableId="284238084">
    <w:abstractNumId w:val="5"/>
  </w:num>
  <w:num w:numId="23" w16cid:durableId="726883567">
    <w:abstractNumId w:val="17"/>
  </w:num>
  <w:num w:numId="24" w16cid:durableId="1769765174">
    <w:abstractNumId w:val="28"/>
  </w:num>
  <w:num w:numId="25" w16cid:durableId="755632296">
    <w:abstractNumId w:val="32"/>
  </w:num>
  <w:num w:numId="26" w16cid:durableId="1401369606">
    <w:abstractNumId w:val="17"/>
  </w:num>
  <w:num w:numId="27" w16cid:durableId="851257788">
    <w:abstractNumId w:val="17"/>
  </w:num>
  <w:num w:numId="28" w16cid:durableId="1173836644">
    <w:abstractNumId w:val="17"/>
    <w:lvlOverride w:ilvl="0">
      <w:startOverride w:val="287"/>
    </w:lvlOverride>
  </w:num>
  <w:num w:numId="29" w16cid:durableId="1089732625">
    <w:abstractNumId w:val="30"/>
  </w:num>
  <w:num w:numId="30" w16cid:durableId="1215697021">
    <w:abstractNumId w:val="3"/>
  </w:num>
  <w:num w:numId="31" w16cid:durableId="248583210">
    <w:abstractNumId w:val="9"/>
  </w:num>
  <w:num w:numId="32" w16cid:durableId="362243421">
    <w:abstractNumId w:val="31"/>
  </w:num>
  <w:num w:numId="33" w16cid:durableId="1041512655">
    <w:abstractNumId w:val="33"/>
  </w:num>
  <w:num w:numId="34" w16cid:durableId="1702051593">
    <w:abstractNumId w:val="0"/>
  </w:num>
  <w:num w:numId="35" w16cid:durableId="1544713669">
    <w:abstractNumId w:val="26"/>
  </w:num>
  <w:num w:numId="36" w16cid:durableId="1842621202">
    <w:abstractNumId w:val="19"/>
  </w:num>
  <w:num w:numId="37" w16cid:durableId="194268627">
    <w:abstractNumId w:val="6"/>
  </w:num>
  <w:num w:numId="38" w16cid:durableId="264004692">
    <w:abstractNumId w:val="25"/>
  </w:num>
  <w:num w:numId="39" w16cid:durableId="1514148431">
    <w:abstractNumId w:val="7"/>
  </w:num>
  <w:num w:numId="40" w16cid:durableId="1149516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30B68"/>
    <w:rsid w:val="000A3F2E"/>
    <w:rsid w:val="000C6303"/>
    <w:rsid w:val="000C6CD0"/>
    <w:rsid w:val="001307B7"/>
    <w:rsid w:val="00172B89"/>
    <w:rsid w:val="00213DC3"/>
    <w:rsid w:val="00262EEA"/>
    <w:rsid w:val="002C50D7"/>
    <w:rsid w:val="002D086C"/>
    <w:rsid w:val="00300E70"/>
    <w:rsid w:val="003060E3"/>
    <w:rsid w:val="0032165C"/>
    <w:rsid w:val="0038238E"/>
    <w:rsid w:val="00382AC3"/>
    <w:rsid w:val="003C6D37"/>
    <w:rsid w:val="003E7893"/>
    <w:rsid w:val="003F50D6"/>
    <w:rsid w:val="00400113"/>
    <w:rsid w:val="00400CCB"/>
    <w:rsid w:val="00416473"/>
    <w:rsid w:val="00421EB3"/>
    <w:rsid w:val="004403A2"/>
    <w:rsid w:val="00470FCA"/>
    <w:rsid w:val="004B05DF"/>
    <w:rsid w:val="004C0F6A"/>
    <w:rsid w:val="004C1EE5"/>
    <w:rsid w:val="004C4F3D"/>
    <w:rsid w:val="004D1F0E"/>
    <w:rsid w:val="004D4890"/>
    <w:rsid w:val="004F5329"/>
    <w:rsid w:val="005226B3"/>
    <w:rsid w:val="005374AB"/>
    <w:rsid w:val="00550074"/>
    <w:rsid w:val="0059330A"/>
    <w:rsid w:val="005A4AE2"/>
    <w:rsid w:val="005A5622"/>
    <w:rsid w:val="005A5AA1"/>
    <w:rsid w:val="005B1A1E"/>
    <w:rsid w:val="005C1E45"/>
    <w:rsid w:val="005C2B8D"/>
    <w:rsid w:val="005C7178"/>
    <w:rsid w:val="00601C1F"/>
    <w:rsid w:val="00617BA9"/>
    <w:rsid w:val="00643A67"/>
    <w:rsid w:val="00646DB7"/>
    <w:rsid w:val="006515DB"/>
    <w:rsid w:val="00681779"/>
    <w:rsid w:val="006A51C4"/>
    <w:rsid w:val="006D1BC2"/>
    <w:rsid w:val="006E3570"/>
    <w:rsid w:val="006E4270"/>
    <w:rsid w:val="007051DC"/>
    <w:rsid w:val="007136EF"/>
    <w:rsid w:val="007154EA"/>
    <w:rsid w:val="0073054D"/>
    <w:rsid w:val="007766EA"/>
    <w:rsid w:val="007A432D"/>
    <w:rsid w:val="007B6CCE"/>
    <w:rsid w:val="007C2FB0"/>
    <w:rsid w:val="007E28AF"/>
    <w:rsid w:val="007F084A"/>
    <w:rsid w:val="0086258F"/>
    <w:rsid w:val="00867480"/>
    <w:rsid w:val="00893D8D"/>
    <w:rsid w:val="008A34F8"/>
    <w:rsid w:val="008B4B3C"/>
    <w:rsid w:val="008E1853"/>
    <w:rsid w:val="00927FEF"/>
    <w:rsid w:val="00944E6C"/>
    <w:rsid w:val="009C1672"/>
    <w:rsid w:val="009F6818"/>
    <w:rsid w:val="00A16BDD"/>
    <w:rsid w:val="00A3012C"/>
    <w:rsid w:val="00BC2B9E"/>
    <w:rsid w:val="00BD56FE"/>
    <w:rsid w:val="00BD58E7"/>
    <w:rsid w:val="00BF2822"/>
    <w:rsid w:val="00C01084"/>
    <w:rsid w:val="00C322A6"/>
    <w:rsid w:val="00C353E9"/>
    <w:rsid w:val="00C4277A"/>
    <w:rsid w:val="00C64AF4"/>
    <w:rsid w:val="00C9152C"/>
    <w:rsid w:val="00CC0F4B"/>
    <w:rsid w:val="00CC3DC6"/>
    <w:rsid w:val="00CC59BE"/>
    <w:rsid w:val="00CE7B3E"/>
    <w:rsid w:val="00CF0B93"/>
    <w:rsid w:val="00D4373F"/>
    <w:rsid w:val="00DB18AF"/>
    <w:rsid w:val="00DC209C"/>
    <w:rsid w:val="00DC50D2"/>
    <w:rsid w:val="00E132E4"/>
    <w:rsid w:val="00E15B3B"/>
    <w:rsid w:val="00F528D9"/>
    <w:rsid w:val="00F535CC"/>
    <w:rsid w:val="00FB657D"/>
    <w:rsid w:val="00FD2AD1"/>
    <w:rsid w:val="00FD3ABF"/>
    <w:rsid w:val="00FE2E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77254"/>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3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2"/>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8E1853"/>
    <w:pPr>
      <w:numPr>
        <w:numId w:val="23"/>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8E1853"/>
    <w:rPr>
      <w:rFonts w:ascii="Times New Roman" w:eastAsiaTheme="minorEastAsia" w:hAnsi="Times New Roman"/>
      <w:lang w:val="en-NZ" w:eastAsia="en-NZ"/>
    </w:rPr>
  </w:style>
  <w:style w:type="paragraph" w:customStyle="1" w:styleId="favourite">
    <w:name w:val="favourite"/>
    <w:basedOn w:val="Default"/>
    <w:link w:val="favouriteChar"/>
    <w:qFormat/>
    <w:rsid w:val="00927FEF"/>
    <w:pPr>
      <w:numPr>
        <w:numId w:val="24"/>
      </w:numPr>
    </w:pPr>
  </w:style>
  <w:style w:type="character" w:customStyle="1" w:styleId="favouriteChar">
    <w:name w:val="favourite Char"/>
    <w:basedOn w:val="DefaultChar"/>
    <w:link w:val="favourite"/>
    <w:rsid w:val="00927FEF"/>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3E7893"/>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3E7893"/>
    <w:rPr>
      <w:rFonts w:ascii="Times New Roman" w:eastAsiaTheme="minorEastAsia" w:hAnsi="Times New Roman" w:cs="Times New Roman"/>
      <w:b/>
      <w:bCs/>
      <w:sz w:val="18"/>
      <w:szCs w:val="18"/>
      <w:lang w:val="en-NZ" w:eastAsia="en-NZ"/>
    </w:rPr>
  </w:style>
  <w:style w:type="character" w:customStyle="1" w:styleId="CaptionChar">
    <w:name w:val="Caption Char"/>
    <w:link w:val="Caption"/>
    <w:uiPriority w:val="35"/>
    <w:locked/>
    <w:rsid w:val="000A3F2E"/>
    <w:rPr>
      <w:i/>
      <w:iCs/>
      <w:color w:val="44546A" w:themeColor="text2"/>
      <w:sz w:val="18"/>
      <w:szCs w:val="18"/>
    </w:rPr>
  </w:style>
  <w:style w:type="paragraph" w:customStyle="1" w:styleId="WCPFCnormal">
    <w:name w:val="WCPFC normal"/>
    <w:basedOn w:val="Normal"/>
    <w:link w:val="WCPFCnormalChar"/>
    <w:qFormat/>
    <w:rsid w:val="008A34F8"/>
    <w:pPr>
      <w:numPr>
        <w:numId w:val="34"/>
      </w:numPr>
      <w:spacing w:after="3"/>
      <w:contextualSpacing/>
      <w:jc w:val="both"/>
    </w:pPr>
    <w:rPr>
      <w:rFonts w:ascii="Calibri" w:eastAsia="Batang" w:hAnsi="Calibri"/>
      <w:kern w:val="2"/>
      <w:lang w:val="en-GB"/>
      <w14:ligatures w14:val="standardContextual"/>
    </w:rPr>
  </w:style>
  <w:style w:type="character" w:customStyle="1" w:styleId="WCPFCnormalChar">
    <w:name w:val="WCPFC normal Char"/>
    <w:basedOn w:val="DefaultParagraphFont"/>
    <w:link w:val="WCPFCnormal"/>
    <w:rsid w:val="008A34F8"/>
    <w:rPr>
      <w:rFonts w:ascii="Calibri" w:eastAsia="Batang" w:hAnsi="Calibri"/>
      <w:kern w:val="2"/>
      <w:lang w:val="en-GB"/>
      <w14:ligatures w14:val="standardContextual"/>
    </w:rPr>
  </w:style>
  <w:style w:type="paragraph" w:customStyle="1" w:styleId="SC2">
    <w:name w:val="SC 2"/>
    <w:basedOn w:val="Normal"/>
    <w:qFormat/>
    <w:rsid w:val="008B4B3C"/>
    <w:pPr>
      <w:keepNext/>
      <w:numPr>
        <w:ilvl w:val="1"/>
        <w:numId w:val="37"/>
      </w:numPr>
      <w:suppressLineNumbers/>
      <w:adjustRightInd w:val="0"/>
      <w:snapToGrid w:val="0"/>
      <w:spacing w:after="220" w:line="240" w:lineRule="auto"/>
      <w:jc w:val="both"/>
      <w:outlineLvl w:val="1"/>
    </w:pPr>
    <w:rPr>
      <w:rFonts w:ascii="Calibri" w:eastAsia="Times New Roman" w:hAnsi="Calibri" w:cs="Times New Roman"/>
      <w:b/>
      <w:lang w:val="en-NZ"/>
    </w:rPr>
  </w:style>
  <w:style w:type="paragraph" w:customStyle="1" w:styleId="SC3">
    <w:name w:val="SC 3"/>
    <w:basedOn w:val="SC2"/>
    <w:link w:val="SC3Char"/>
    <w:qFormat/>
    <w:rsid w:val="008B4B3C"/>
    <w:pPr>
      <w:numPr>
        <w:ilvl w:val="2"/>
      </w:numPr>
      <w:outlineLvl w:val="2"/>
    </w:pPr>
  </w:style>
  <w:style w:type="character" w:customStyle="1" w:styleId="SC3Char">
    <w:name w:val="SC 3 Char"/>
    <w:basedOn w:val="DefaultParagraphFont"/>
    <w:link w:val="SC3"/>
    <w:rsid w:val="008B4B3C"/>
    <w:rPr>
      <w:rFonts w:ascii="Calibri" w:eastAsia="Times New Roman" w:hAnsi="Calibri" w:cs="Times New Roman"/>
      <w:b/>
      <w:lang w:val="en-NZ"/>
    </w:rPr>
  </w:style>
  <w:style w:type="table" w:customStyle="1" w:styleId="TableGrid0">
    <w:name w:val="TableGrid"/>
    <w:rsid w:val="008B4B3C"/>
    <w:pPr>
      <w:spacing w:after="0" w:line="240" w:lineRule="auto"/>
    </w:pPr>
    <w:rPr>
      <w:rFonts w:eastAsiaTheme="minorEastAsia"/>
    </w:rPr>
    <w:tblPr>
      <w:tblCellMar>
        <w:top w:w="0" w:type="dxa"/>
        <w:left w:w="0" w:type="dxa"/>
        <w:bottom w:w="0" w:type="dxa"/>
        <w:right w:w="0" w:type="dxa"/>
      </w:tblCellMar>
    </w:tblPr>
  </w:style>
  <w:style w:type="paragraph" w:customStyle="1" w:styleId="SCtext">
    <w:name w:val="SC text"/>
    <w:basedOn w:val="Normal"/>
    <w:rsid w:val="008B4B3C"/>
    <w:pPr>
      <w:autoSpaceDE w:val="0"/>
      <w:autoSpaceDN w:val="0"/>
      <w:adjustRightInd w:val="0"/>
      <w:snapToGrid w:val="0"/>
      <w:spacing w:after="0" w:line="240" w:lineRule="auto"/>
      <w:ind w:left="360" w:hanging="360"/>
      <w:jc w:val="both"/>
    </w:pPr>
    <w:rPr>
      <w:rFonts w:ascii="Calibri" w:eastAsiaTheme="minorEastAsia" w:hAnsi="Calibri" w:cs="Times New Roman"/>
      <w:lang w:val="en-AU" w:eastAsia="ko-KR"/>
    </w:rPr>
  </w:style>
  <w:style w:type="paragraph" w:customStyle="1" w:styleId="Compact">
    <w:name w:val="Compact"/>
    <w:basedOn w:val="BodyText"/>
    <w:qFormat/>
    <w:rsid w:val="008B4B3C"/>
    <w:pPr>
      <w:widowControl/>
      <w:spacing w:before="36" w:after="36"/>
      <w:ind w:left="0"/>
    </w:pPr>
    <w:rPr>
      <w:rFonts w:asciiTheme="minorHAnsi" w:eastAsiaTheme="minorHAnsi" w:hAnsiTheme="minorHAnsi"/>
    </w:rPr>
  </w:style>
  <w:style w:type="table" w:customStyle="1" w:styleId="Table">
    <w:name w:val="Table"/>
    <w:semiHidden/>
    <w:unhideWhenUsed/>
    <w:qFormat/>
    <w:rsid w:val="008B4B3C"/>
    <w:pPr>
      <w:spacing w:after="200" w:line="240" w:lineRule="auto"/>
    </w:pPr>
    <w:rPr>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TOC3">
    <w:name w:val="toc 3"/>
    <w:basedOn w:val="Normal"/>
    <w:next w:val="Normal"/>
    <w:autoRedefine/>
    <w:uiPriority w:val="39"/>
    <w:unhideWhenUsed/>
    <w:rsid w:val="006E35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hyperlink" Target="https://www.wcpfc.int/node/43330"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www.wcpfc.int/node/2851"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meetings.wcpfc.int/node/266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www.wcpfc.int/node/42944" TargetMode="External"/><Relationship Id="rId37" Type="http://schemas.openxmlformats.org/officeDocument/2006/relationships/hyperlink" Target="https://wcpfc.int/meetings/2nd-regular-sessio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meetings.wcpfc.int/node/26682" TargetMode="External"/><Relationship Id="rId36" Type="http://schemas.openxmlformats.org/officeDocument/2006/relationships/hyperlink" Target="https://www.wcpfc.int/node/3234"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www.wcpfc.int/node/4293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meetings.wcpfc.int/node/23120" TargetMode="External"/><Relationship Id="rId35" Type="http://schemas.openxmlformats.org/officeDocument/2006/relationships/hyperlink" Target="https://www.wcpfc.int/node/3704"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32EA2-19DB-40E1-BA55-37F143494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4865</Words>
  <Characters>28369</Characters>
  <Application>Microsoft Office Word</Application>
  <DocSecurity>0</DocSecurity>
  <Lines>859</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17</cp:revision>
  <cp:lastPrinted>2018-01-29T22:52:00Z</cp:lastPrinted>
  <dcterms:created xsi:type="dcterms:W3CDTF">2025-11-17T03:51:00Z</dcterms:created>
  <dcterms:modified xsi:type="dcterms:W3CDTF">2025-11-17T04:02:00Z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66e3c204f8255cba8480a77e620462ad3c05cc2591285092309c59470cf95b1c</vt:lpwstr>
  </property>
</Properties>
</file>