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91D68" w14:textId="77777777" w:rsidR="00CE2779" w:rsidRPr="004539D1" w:rsidRDefault="00CE2779" w:rsidP="00CE2779">
      <w:pPr>
        <w:autoSpaceDE w:val="0"/>
        <w:autoSpaceDN w:val="0"/>
        <w:adjustRightInd w:val="0"/>
        <w:snapToGrid w:val="0"/>
        <w:spacing w:after="0" w:line="240" w:lineRule="auto"/>
        <w:jc w:val="center"/>
        <w:rPr>
          <w:rFonts w:cstheme="minorHAnsi"/>
          <w:b/>
          <w:bCs/>
          <w:lang w:val="en-AU" w:eastAsia="en-NZ"/>
        </w:rPr>
      </w:pPr>
    </w:p>
    <w:p w14:paraId="0129E9B7" w14:textId="77777777" w:rsidR="00CE2779" w:rsidRPr="004539D1" w:rsidRDefault="00CE2779" w:rsidP="00CE2779">
      <w:pPr>
        <w:autoSpaceDE w:val="0"/>
        <w:autoSpaceDN w:val="0"/>
        <w:adjustRightInd w:val="0"/>
        <w:snapToGrid w:val="0"/>
        <w:spacing w:after="0" w:line="240" w:lineRule="auto"/>
        <w:jc w:val="center"/>
        <w:rPr>
          <w:rFonts w:cstheme="minorHAnsi"/>
          <w:b/>
          <w:bCs/>
          <w:lang w:val="en-AU" w:eastAsia="en-NZ"/>
        </w:rPr>
      </w:pPr>
    </w:p>
    <w:p w14:paraId="3FF7B72B" w14:textId="6A9D4090" w:rsidR="00CE2779" w:rsidRPr="004539D1" w:rsidRDefault="005A39D1" w:rsidP="00CE2779">
      <w:pPr>
        <w:autoSpaceDE w:val="0"/>
        <w:autoSpaceDN w:val="0"/>
        <w:adjustRightInd w:val="0"/>
        <w:snapToGrid w:val="0"/>
        <w:spacing w:after="0" w:line="240" w:lineRule="auto"/>
        <w:jc w:val="center"/>
        <w:rPr>
          <w:rFonts w:cstheme="minorHAnsi"/>
          <w:b/>
          <w:bCs/>
          <w:lang w:val="en-AU" w:eastAsia="en-NZ"/>
        </w:rPr>
      </w:pPr>
      <w:r w:rsidRPr="004539D1">
        <w:rPr>
          <w:rFonts w:eastAsia="Times New Roman" w:cstheme="minorHAnsi"/>
          <w:b/>
          <w:bCs/>
          <w:noProof/>
          <w:color w:val="000000" w:themeColor="text1"/>
        </w:rPr>
        <w:drawing>
          <wp:inline distT="0" distB="0" distL="0" distR="0" wp14:anchorId="2DC2D604" wp14:editId="26991B0A">
            <wp:extent cx="2492712" cy="862862"/>
            <wp:effectExtent l="0" t="0" r="3175" b="0"/>
            <wp:docPr id="2009399976" name="Picture 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4" descr="A blue and black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492712" cy="862862"/>
                    </a:xfrm>
                    <a:prstGeom prst="rect">
                      <a:avLst/>
                    </a:prstGeom>
                  </pic:spPr>
                </pic:pic>
              </a:graphicData>
            </a:graphic>
          </wp:inline>
        </w:drawing>
      </w:r>
    </w:p>
    <w:p w14:paraId="1D3AD47A" w14:textId="77777777" w:rsidR="00CE2779" w:rsidRPr="004539D1" w:rsidRDefault="00CE2779" w:rsidP="00CE2779">
      <w:pPr>
        <w:autoSpaceDE w:val="0"/>
        <w:autoSpaceDN w:val="0"/>
        <w:adjustRightInd w:val="0"/>
        <w:snapToGrid w:val="0"/>
        <w:spacing w:after="0" w:line="240" w:lineRule="auto"/>
        <w:jc w:val="center"/>
        <w:rPr>
          <w:rFonts w:cstheme="minorHAnsi"/>
          <w:b/>
          <w:bCs/>
          <w:lang w:val="en-AU" w:eastAsia="en-NZ"/>
        </w:rPr>
      </w:pPr>
    </w:p>
    <w:p w14:paraId="74F601D1" w14:textId="77777777" w:rsidR="00CE2779" w:rsidRPr="004539D1" w:rsidRDefault="00CE2779" w:rsidP="00CE2779">
      <w:pPr>
        <w:autoSpaceDE w:val="0"/>
        <w:autoSpaceDN w:val="0"/>
        <w:adjustRightInd w:val="0"/>
        <w:snapToGrid w:val="0"/>
        <w:spacing w:after="0" w:line="240" w:lineRule="auto"/>
        <w:jc w:val="center"/>
        <w:rPr>
          <w:rFonts w:cstheme="minorHAnsi"/>
          <w:b/>
          <w:bCs/>
          <w:lang w:val="en-AU" w:eastAsia="en-NZ"/>
        </w:rPr>
      </w:pPr>
    </w:p>
    <w:p w14:paraId="1CB0A34B" w14:textId="77777777" w:rsidR="00CE2779" w:rsidRPr="004539D1" w:rsidRDefault="00CE2779" w:rsidP="00CE2779">
      <w:pPr>
        <w:adjustRightInd w:val="0"/>
        <w:snapToGrid w:val="0"/>
        <w:spacing w:after="0" w:line="240" w:lineRule="auto"/>
        <w:jc w:val="center"/>
        <w:rPr>
          <w:rFonts w:cstheme="minorHAnsi"/>
          <w:b/>
          <w:lang w:val="en-NZ"/>
        </w:rPr>
      </w:pPr>
      <w:r w:rsidRPr="004539D1">
        <w:rPr>
          <w:rFonts w:cstheme="minorHAnsi"/>
          <w:b/>
          <w:lang w:val="en-NZ"/>
        </w:rPr>
        <w:t xml:space="preserve">The Commission for the Conservation and Management of </w:t>
      </w:r>
    </w:p>
    <w:p w14:paraId="3F752B2B" w14:textId="77777777" w:rsidR="00CE2779" w:rsidRPr="004539D1" w:rsidRDefault="00CE2779" w:rsidP="00CE2779">
      <w:pPr>
        <w:adjustRightInd w:val="0"/>
        <w:snapToGrid w:val="0"/>
        <w:spacing w:after="0" w:line="240" w:lineRule="auto"/>
        <w:jc w:val="center"/>
        <w:rPr>
          <w:rFonts w:cstheme="minorHAnsi"/>
          <w:b/>
          <w:lang w:val="en-NZ"/>
        </w:rPr>
      </w:pPr>
      <w:r w:rsidRPr="004539D1">
        <w:rPr>
          <w:rFonts w:cstheme="minorHAnsi"/>
          <w:b/>
          <w:lang w:val="en-NZ"/>
        </w:rPr>
        <w:t xml:space="preserve">Highly Migratory Fish Stocks in the Western and Central Pacific Ocean </w:t>
      </w:r>
    </w:p>
    <w:p w14:paraId="0D05EFEF" w14:textId="77777777" w:rsidR="00CE2779" w:rsidRPr="004539D1" w:rsidRDefault="00CE2779" w:rsidP="00CE2779">
      <w:pPr>
        <w:adjustRightInd w:val="0"/>
        <w:snapToGrid w:val="0"/>
        <w:spacing w:after="0" w:line="240" w:lineRule="auto"/>
        <w:jc w:val="center"/>
        <w:rPr>
          <w:rFonts w:cstheme="minorHAnsi"/>
          <w:b/>
          <w:lang w:val="en-NZ"/>
        </w:rPr>
      </w:pPr>
    </w:p>
    <w:p w14:paraId="37D25919" w14:textId="77777777" w:rsidR="00CE2779" w:rsidRPr="004539D1" w:rsidRDefault="00CE2779" w:rsidP="00CE2779">
      <w:pPr>
        <w:adjustRightInd w:val="0"/>
        <w:snapToGrid w:val="0"/>
        <w:spacing w:after="0" w:line="240" w:lineRule="auto"/>
        <w:jc w:val="center"/>
        <w:rPr>
          <w:rFonts w:cstheme="minorHAnsi"/>
          <w:b/>
          <w:lang w:val="en-NZ"/>
        </w:rPr>
      </w:pPr>
    </w:p>
    <w:p w14:paraId="1BB0F38B" w14:textId="77777777" w:rsidR="00CE2779" w:rsidRPr="004539D1" w:rsidRDefault="00CE2779" w:rsidP="00CE2779">
      <w:pPr>
        <w:adjustRightInd w:val="0"/>
        <w:snapToGrid w:val="0"/>
        <w:spacing w:after="0" w:line="240" w:lineRule="auto"/>
        <w:jc w:val="center"/>
        <w:rPr>
          <w:rFonts w:cstheme="minorHAnsi"/>
          <w:b/>
          <w:lang w:val="en-NZ"/>
        </w:rPr>
      </w:pPr>
    </w:p>
    <w:p w14:paraId="6E7BDEB4" w14:textId="77777777" w:rsidR="00CE2779" w:rsidRPr="004539D1" w:rsidRDefault="00CE2779" w:rsidP="00CE2779">
      <w:pPr>
        <w:adjustRightInd w:val="0"/>
        <w:snapToGrid w:val="0"/>
        <w:spacing w:after="0" w:line="240" w:lineRule="auto"/>
        <w:jc w:val="center"/>
        <w:rPr>
          <w:rFonts w:cstheme="minorHAnsi"/>
          <w:b/>
          <w:caps/>
          <w:lang w:val="en-NZ"/>
        </w:rPr>
      </w:pPr>
      <w:r w:rsidRPr="004539D1">
        <w:rPr>
          <w:rFonts w:cstheme="minorHAnsi"/>
          <w:b/>
          <w:caps/>
          <w:lang w:val="en-NZ"/>
        </w:rPr>
        <w:t>Scientific Committee</w:t>
      </w:r>
    </w:p>
    <w:p w14:paraId="211B9CF9" w14:textId="77777777" w:rsidR="00CE2779" w:rsidRPr="004539D1" w:rsidRDefault="00CE2779" w:rsidP="00CE2779">
      <w:pPr>
        <w:adjustRightInd w:val="0"/>
        <w:snapToGrid w:val="0"/>
        <w:spacing w:after="0" w:line="240" w:lineRule="auto"/>
        <w:jc w:val="center"/>
        <w:rPr>
          <w:rFonts w:cstheme="minorHAnsi"/>
          <w:b/>
          <w:lang w:val="en-NZ"/>
        </w:rPr>
      </w:pPr>
    </w:p>
    <w:p w14:paraId="42F010E0" w14:textId="77777777" w:rsidR="00CE2779" w:rsidRPr="004539D1" w:rsidRDefault="00CE2779" w:rsidP="00CE2779">
      <w:pPr>
        <w:adjustRightInd w:val="0"/>
        <w:snapToGrid w:val="0"/>
        <w:spacing w:after="0" w:line="240" w:lineRule="auto"/>
        <w:jc w:val="center"/>
        <w:rPr>
          <w:rFonts w:cstheme="minorHAnsi"/>
          <w:b/>
          <w:sz w:val="36"/>
          <w:szCs w:val="36"/>
        </w:rPr>
      </w:pPr>
    </w:p>
    <w:p w14:paraId="429E6598" w14:textId="6E943BDC" w:rsidR="004B05DF" w:rsidRPr="004539D1" w:rsidRDefault="0038238E" w:rsidP="00CE2779">
      <w:pPr>
        <w:adjustRightInd w:val="0"/>
        <w:snapToGrid w:val="0"/>
        <w:spacing w:after="0" w:line="240" w:lineRule="auto"/>
        <w:jc w:val="center"/>
        <w:rPr>
          <w:rFonts w:cstheme="minorHAnsi"/>
          <w:b/>
          <w:sz w:val="28"/>
          <w:szCs w:val="28"/>
        </w:rPr>
      </w:pPr>
      <w:r w:rsidRPr="004539D1">
        <w:rPr>
          <w:rFonts w:cstheme="minorHAnsi"/>
          <w:b/>
          <w:caps/>
          <w:sz w:val="28"/>
          <w:szCs w:val="28"/>
        </w:rPr>
        <w:t xml:space="preserve">North </w:t>
      </w:r>
      <w:r w:rsidR="004B05DF" w:rsidRPr="004539D1">
        <w:rPr>
          <w:rFonts w:cstheme="minorHAnsi"/>
          <w:b/>
          <w:caps/>
          <w:sz w:val="28"/>
          <w:szCs w:val="28"/>
        </w:rPr>
        <w:t>Pacific Albacore Tuna</w:t>
      </w:r>
      <w:r w:rsidR="004B05DF" w:rsidRPr="004539D1">
        <w:rPr>
          <w:rFonts w:cstheme="minorHAnsi"/>
          <w:b/>
          <w:sz w:val="28"/>
          <w:szCs w:val="28"/>
        </w:rPr>
        <w:t xml:space="preserve"> (</w:t>
      </w:r>
      <w:r w:rsidR="004B05DF" w:rsidRPr="004539D1">
        <w:rPr>
          <w:rFonts w:cstheme="minorHAnsi"/>
          <w:b/>
          <w:i/>
          <w:sz w:val="28"/>
          <w:szCs w:val="28"/>
        </w:rPr>
        <w:t>Thunnus alal</w:t>
      </w:r>
      <w:r w:rsidR="0038155A" w:rsidRPr="004539D1">
        <w:rPr>
          <w:rFonts w:cstheme="minorHAnsi"/>
          <w:b/>
          <w:i/>
          <w:sz w:val="28"/>
          <w:szCs w:val="28"/>
        </w:rPr>
        <w:t>u</w:t>
      </w:r>
      <w:r w:rsidR="004B05DF" w:rsidRPr="004539D1">
        <w:rPr>
          <w:rFonts w:cstheme="minorHAnsi"/>
          <w:b/>
          <w:i/>
          <w:sz w:val="28"/>
          <w:szCs w:val="28"/>
        </w:rPr>
        <w:t>nga</w:t>
      </w:r>
      <w:r w:rsidR="004B05DF" w:rsidRPr="004539D1">
        <w:rPr>
          <w:rFonts w:cstheme="minorHAnsi"/>
          <w:b/>
          <w:sz w:val="28"/>
          <w:szCs w:val="28"/>
        </w:rPr>
        <w:t>)</w:t>
      </w:r>
    </w:p>
    <w:p w14:paraId="4FE1CA23" w14:textId="77777777" w:rsidR="00CE2779" w:rsidRPr="004539D1" w:rsidRDefault="00CE2779" w:rsidP="00CE2779">
      <w:pPr>
        <w:adjustRightInd w:val="0"/>
        <w:snapToGrid w:val="0"/>
        <w:spacing w:after="0" w:line="240" w:lineRule="auto"/>
        <w:jc w:val="center"/>
        <w:rPr>
          <w:rFonts w:cstheme="minorHAnsi"/>
          <w:bCs/>
          <w:caps/>
        </w:rPr>
      </w:pPr>
    </w:p>
    <w:p w14:paraId="51AC4A7D" w14:textId="2414760F" w:rsidR="004B05DF" w:rsidRPr="004539D1" w:rsidRDefault="004B05DF" w:rsidP="00CE2779">
      <w:pPr>
        <w:adjustRightInd w:val="0"/>
        <w:snapToGrid w:val="0"/>
        <w:spacing w:after="0" w:line="240" w:lineRule="auto"/>
        <w:jc w:val="center"/>
        <w:rPr>
          <w:rFonts w:cstheme="minorHAnsi"/>
          <w:bCs/>
          <w:caps/>
        </w:rPr>
      </w:pPr>
      <w:r w:rsidRPr="004539D1">
        <w:rPr>
          <w:rFonts w:cstheme="minorHAnsi"/>
          <w:bCs/>
          <w:caps/>
        </w:rPr>
        <w:t xml:space="preserve">Stock Status </w:t>
      </w:r>
      <w:r w:rsidR="00CE2779" w:rsidRPr="004539D1">
        <w:rPr>
          <w:rFonts w:eastAsia="Malgun Gothic" w:cstheme="minorHAnsi"/>
          <w:bCs/>
          <w:caps/>
          <w:lang w:eastAsia="ko-KR"/>
        </w:rPr>
        <w:t>and</w:t>
      </w:r>
      <w:r w:rsidRPr="004539D1">
        <w:rPr>
          <w:rFonts w:cstheme="minorHAnsi"/>
          <w:bCs/>
          <w:caps/>
        </w:rPr>
        <w:t xml:space="preserve"> Management Advice</w:t>
      </w:r>
    </w:p>
    <w:p w14:paraId="4001F305" w14:textId="25D4CAEE" w:rsidR="00CE2779" w:rsidRPr="004539D1" w:rsidRDefault="00CE2779" w:rsidP="00CE2779">
      <w:pPr>
        <w:adjustRightInd w:val="0"/>
        <w:snapToGrid w:val="0"/>
        <w:spacing w:after="0" w:line="240" w:lineRule="auto"/>
        <w:jc w:val="center"/>
        <w:rPr>
          <w:rFonts w:cstheme="minorHAnsi"/>
          <w:bCs/>
          <w:caps/>
        </w:rPr>
      </w:pPr>
    </w:p>
    <w:p w14:paraId="6F79C434" w14:textId="2D69047D" w:rsidR="00CE2779" w:rsidRPr="004539D1" w:rsidRDefault="00CE2779" w:rsidP="00CE2779">
      <w:pPr>
        <w:adjustRightInd w:val="0"/>
        <w:snapToGrid w:val="0"/>
        <w:spacing w:after="0" w:line="240" w:lineRule="auto"/>
        <w:jc w:val="center"/>
        <w:rPr>
          <w:rFonts w:cstheme="minorHAnsi"/>
          <w:bCs/>
          <w:caps/>
        </w:rPr>
      </w:pPr>
    </w:p>
    <w:p w14:paraId="30DE0428" w14:textId="505236B7" w:rsidR="00CE2779" w:rsidRPr="004539D1" w:rsidRDefault="00CE2779" w:rsidP="00CE2779">
      <w:pPr>
        <w:adjustRightInd w:val="0"/>
        <w:snapToGrid w:val="0"/>
        <w:spacing w:after="0" w:line="240" w:lineRule="auto"/>
        <w:jc w:val="center"/>
        <w:rPr>
          <w:rFonts w:cstheme="minorHAnsi"/>
          <w:bCs/>
          <w:caps/>
        </w:rPr>
      </w:pPr>
    </w:p>
    <w:p w14:paraId="75C2F074" w14:textId="528F8D3F" w:rsidR="00CE2779" w:rsidRPr="004539D1" w:rsidRDefault="00CE2779" w:rsidP="00CE2779">
      <w:pPr>
        <w:adjustRightInd w:val="0"/>
        <w:snapToGrid w:val="0"/>
        <w:spacing w:after="0" w:line="240" w:lineRule="auto"/>
        <w:jc w:val="center"/>
        <w:rPr>
          <w:rFonts w:cstheme="minorHAnsi"/>
          <w:bCs/>
          <w:caps/>
        </w:rPr>
      </w:pPr>
    </w:p>
    <w:p w14:paraId="682A9482" w14:textId="44902B46" w:rsidR="00CE2779" w:rsidRPr="004539D1" w:rsidRDefault="00CE2779" w:rsidP="00CE2779">
      <w:pPr>
        <w:adjustRightInd w:val="0"/>
        <w:snapToGrid w:val="0"/>
        <w:spacing w:after="0" w:line="240" w:lineRule="auto"/>
        <w:jc w:val="center"/>
        <w:rPr>
          <w:rFonts w:cstheme="minorHAnsi"/>
          <w:bCs/>
          <w:caps/>
        </w:rPr>
      </w:pPr>
    </w:p>
    <w:p w14:paraId="69D8F36B" w14:textId="42FF4BA7" w:rsidR="00CE2779" w:rsidRPr="004539D1" w:rsidRDefault="00CE2779" w:rsidP="00CE2779">
      <w:pPr>
        <w:adjustRightInd w:val="0"/>
        <w:snapToGrid w:val="0"/>
        <w:spacing w:after="0" w:line="240" w:lineRule="auto"/>
        <w:jc w:val="center"/>
        <w:rPr>
          <w:rFonts w:cstheme="minorHAnsi"/>
          <w:bCs/>
          <w:caps/>
        </w:rPr>
      </w:pPr>
    </w:p>
    <w:p w14:paraId="57062234" w14:textId="215B0B3F" w:rsidR="00CE2779" w:rsidRPr="004539D1" w:rsidRDefault="00CE2779" w:rsidP="00CE2779">
      <w:pPr>
        <w:adjustRightInd w:val="0"/>
        <w:snapToGrid w:val="0"/>
        <w:spacing w:after="0" w:line="240" w:lineRule="auto"/>
        <w:jc w:val="center"/>
        <w:rPr>
          <w:rFonts w:cstheme="minorHAnsi"/>
          <w:bCs/>
          <w:caps/>
        </w:rPr>
      </w:pPr>
    </w:p>
    <w:sdt>
      <w:sdtPr>
        <w:rPr>
          <w:rFonts w:asciiTheme="minorHAnsi" w:eastAsiaTheme="minorHAnsi" w:hAnsiTheme="minorHAnsi" w:cstheme="minorHAnsi"/>
          <w:b/>
          <w:bCs/>
          <w:color w:val="auto"/>
          <w:sz w:val="22"/>
          <w:szCs w:val="22"/>
        </w:rPr>
        <w:id w:val="-1203621396"/>
        <w:docPartObj>
          <w:docPartGallery w:val="Table of Contents"/>
          <w:docPartUnique/>
        </w:docPartObj>
      </w:sdtPr>
      <w:sdtEndPr>
        <w:rPr>
          <w:rFonts w:eastAsia="Batang"/>
          <w:noProof/>
        </w:rPr>
      </w:sdtEndPr>
      <w:sdtContent>
        <w:p w14:paraId="311F46B2" w14:textId="77777777" w:rsidR="004B05DF" w:rsidRPr="004539D1" w:rsidRDefault="004B05DF" w:rsidP="004D0AED">
          <w:pPr>
            <w:pStyle w:val="TOCHeading"/>
            <w:adjustRightInd w:val="0"/>
            <w:snapToGrid w:val="0"/>
            <w:spacing w:before="0" w:after="240" w:line="240" w:lineRule="auto"/>
            <w:rPr>
              <w:rFonts w:asciiTheme="minorHAnsi" w:hAnsiTheme="minorHAnsi" w:cstheme="minorHAnsi"/>
              <w:b/>
              <w:bCs/>
              <w:sz w:val="28"/>
              <w:szCs w:val="28"/>
            </w:rPr>
          </w:pPr>
          <w:r w:rsidRPr="004539D1">
            <w:rPr>
              <w:rFonts w:asciiTheme="minorHAnsi" w:hAnsiTheme="minorHAnsi" w:cstheme="minorHAnsi"/>
              <w:b/>
              <w:bCs/>
              <w:sz w:val="28"/>
              <w:szCs w:val="28"/>
            </w:rPr>
            <w:t>Contents</w:t>
          </w:r>
        </w:p>
        <w:p w14:paraId="58AD6FC1" w14:textId="07E7D681" w:rsidR="004539D1" w:rsidRPr="004539D1" w:rsidRDefault="004B05DF">
          <w:pPr>
            <w:pStyle w:val="TOC1"/>
            <w:rPr>
              <w:rFonts w:asciiTheme="minorHAnsi" w:eastAsiaTheme="minorEastAsia" w:hAnsiTheme="minorHAnsi" w:cstheme="minorHAnsi"/>
              <w:b w:val="0"/>
              <w:bCs w:val="0"/>
              <w:caps w:val="0"/>
              <w:kern w:val="2"/>
              <w:lang w:val="en-US" w:eastAsia="en-US"/>
              <w14:ligatures w14:val="standardContextual"/>
            </w:rPr>
          </w:pPr>
          <w:r w:rsidRPr="004539D1">
            <w:rPr>
              <w:rFonts w:asciiTheme="minorHAnsi" w:hAnsiTheme="minorHAnsi" w:cstheme="minorHAnsi"/>
              <w:noProof w:val="0"/>
            </w:rPr>
            <w:fldChar w:fldCharType="begin"/>
          </w:r>
          <w:r w:rsidRPr="004539D1">
            <w:rPr>
              <w:rFonts w:asciiTheme="minorHAnsi" w:hAnsiTheme="minorHAnsi" w:cstheme="minorHAnsi"/>
            </w:rPr>
            <w:instrText xml:space="preserve"> TOC \o "1-3" \h \z \u </w:instrText>
          </w:r>
          <w:r w:rsidRPr="004539D1">
            <w:rPr>
              <w:rFonts w:asciiTheme="minorHAnsi" w:hAnsiTheme="minorHAnsi" w:cstheme="minorHAnsi"/>
              <w:noProof w:val="0"/>
            </w:rPr>
            <w:fldChar w:fldCharType="separate"/>
          </w:r>
          <w:hyperlink w:anchor="_Toc159854727" w:history="1">
            <w:r w:rsidR="004539D1" w:rsidRPr="004539D1">
              <w:rPr>
                <w:rStyle w:val="Hyperlink"/>
                <w:rFonts w:asciiTheme="minorHAnsi" w:hAnsiTheme="minorHAnsi" w:cstheme="minorHAnsi"/>
              </w:rPr>
              <w:t>SC19 2023 (STOCK ASSESSMENT CONDUCTED)</w:t>
            </w:r>
            <w:r w:rsidR="004539D1" w:rsidRPr="004539D1">
              <w:rPr>
                <w:rFonts w:asciiTheme="minorHAnsi" w:hAnsiTheme="minorHAnsi" w:cstheme="minorHAnsi"/>
                <w:webHidden/>
              </w:rPr>
              <w:tab/>
            </w:r>
            <w:r w:rsidR="004539D1" w:rsidRPr="004539D1">
              <w:rPr>
                <w:rFonts w:asciiTheme="minorHAnsi" w:hAnsiTheme="minorHAnsi" w:cstheme="minorHAnsi"/>
                <w:webHidden/>
              </w:rPr>
              <w:fldChar w:fldCharType="begin"/>
            </w:r>
            <w:r w:rsidR="004539D1" w:rsidRPr="004539D1">
              <w:rPr>
                <w:rFonts w:asciiTheme="minorHAnsi" w:hAnsiTheme="minorHAnsi" w:cstheme="minorHAnsi"/>
                <w:webHidden/>
              </w:rPr>
              <w:instrText xml:space="preserve"> PAGEREF _Toc159854727 \h </w:instrText>
            </w:r>
            <w:r w:rsidR="004539D1" w:rsidRPr="004539D1">
              <w:rPr>
                <w:rFonts w:asciiTheme="minorHAnsi" w:hAnsiTheme="minorHAnsi" w:cstheme="minorHAnsi"/>
                <w:webHidden/>
              </w:rPr>
            </w:r>
            <w:r w:rsidR="004539D1" w:rsidRPr="004539D1">
              <w:rPr>
                <w:rFonts w:asciiTheme="minorHAnsi" w:hAnsiTheme="minorHAnsi" w:cstheme="minorHAnsi"/>
                <w:webHidden/>
              </w:rPr>
              <w:fldChar w:fldCharType="separate"/>
            </w:r>
            <w:r w:rsidR="004539D1" w:rsidRPr="004539D1">
              <w:rPr>
                <w:rFonts w:asciiTheme="minorHAnsi" w:hAnsiTheme="minorHAnsi" w:cstheme="minorHAnsi"/>
                <w:webHidden/>
              </w:rPr>
              <w:t>2</w:t>
            </w:r>
            <w:r w:rsidR="004539D1" w:rsidRPr="004539D1">
              <w:rPr>
                <w:rFonts w:asciiTheme="minorHAnsi" w:hAnsiTheme="minorHAnsi" w:cstheme="minorHAnsi"/>
                <w:webHidden/>
              </w:rPr>
              <w:fldChar w:fldCharType="end"/>
            </w:r>
          </w:hyperlink>
        </w:p>
        <w:p w14:paraId="10A52D30" w14:textId="412A206F" w:rsidR="004539D1" w:rsidRPr="004539D1" w:rsidRDefault="00000000">
          <w:pPr>
            <w:pStyle w:val="TOC1"/>
            <w:rPr>
              <w:rFonts w:asciiTheme="minorHAnsi" w:eastAsiaTheme="minorEastAsia" w:hAnsiTheme="minorHAnsi" w:cstheme="minorHAnsi"/>
              <w:b w:val="0"/>
              <w:bCs w:val="0"/>
              <w:caps w:val="0"/>
              <w:kern w:val="2"/>
              <w:lang w:val="en-US" w:eastAsia="en-US"/>
              <w14:ligatures w14:val="standardContextual"/>
            </w:rPr>
          </w:pPr>
          <w:hyperlink w:anchor="_Toc159854728" w:history="1">
            <w:r w:rsidR="004539D1" w:rsidRPr="004539D1">
              <w:rPr>
                <w:rStyle w:val="Hyperlink"/>
                <w:rFonts w:asciiTheme="minorHAnsi" w:hAnsiTheme="minorHAnsi" w:cstheme="minorHAnsi"/>
              </w:rPr>
              <w:t>SC16 2020 (STOCK ASSESSMENT CONDUCTED)</w:t>
            </w:r>
            <w:r w:rsidR="004539D1" w:rsidRPr="004539D1">
              <w:rPr>
                <w:rFonts w:asciiTheme="minorHAnsi" w:hAnsiTheme="minorHAnsi" w:cstheme="minorHAnsi"/>
                <w:webHidden/>
              </w:rPr>
              <w:tab/>
            </w:r>
            <w:r w:rsidR="004539D1" w:rsidRPr="004539D1">
              <w:rPr>
                <w:rFonts w:asciiTheme="minorHAnsi" w:hAnsiTheme="minorHAnsi" w:cstheme="minorHAnsi"/>
                <w:webHidden/>
              </w:rPr>
              <w:fldChar w:fldCharType="begin"/>
            </w:r>
            <w:r w:rsidR="004539D1" w:rsidRPr="004539D1">
              <w:rPr>
                <w:rFonts w:asciiTheme="minorHAnsi" w:hAnsiTheme="minorHAnsi" w:cstheme="minorHAnsi"/>
                <w:webHidden/>
              </w:rPr>
              <w:instrText xml:space="preserve"> PAGEREF _Toc159854728 \h </w:instrText>
            </w:r>
            <w:r w:rsidR="004539D1" w:rsidRPr="004539D1">
              <w:rPr>
                <w:rFonts w:asciiTheme="minorHAnsi" w:hAnsiTheme="minorHAnsi" w:cstheme="minorHAnsi"/>
                <w:webHidden/>
              </w:rPr>
            </w:r>
            <w:r w:rsidR="004539D1" w:rsidRPr="004539D1">
              <w:rPr>
                <w:rFonts w:asciiTheme="minorHAnsi" w:hAnsiTheme="minorHAnsi" w:cstheme="minorHAnsi"/>
                <w:webHidden/>
              </w:rPr>
              <w:fldChar w:fldCharType="separate"/>
            </w:r>
            <w:r w:rsidR="004539D1" w:rsidRPr="004539D1">
              <w:rPr>
                <w:rFonts w:asciiTheme="minorHAnsi" w:hAnsiTheme="minorHAnsi" w:cstheme="minorHAnsi"/>
                <w:webHidden/>
              </w:rPr>
              <w:t>10</w:t>
            </w:r>
            <w:r w:rsidR="004539D1" w:rsidRPr="004539D1">
              <w:rPr>
                <w:rFonts w:asciiTheme="minorHAnsi" w:hAnsiTheme="minorHAnsi" w:cstheme="minorHAnsi"/>
                <w:webHidden/>
              </w:rPr>
              <w:fldChar w:fldCharType="end"/>
            </w:r>
          </w:hyperlink>
        </w:p>
        <w:p w14:paraId="2BC33765" w14:textId="1A2DA60E" w:rsidR="004539D1" w:rsidRPr="004539D1" w:rsidRDefault="00000000">
          <w:pPr>
            <w:pStyle w:val="TOC1"/>
            <w:rPr>
              <w:rFonts w:asciiTheme="minorHAnsi" w:eastAsiaTheme="minorEastAsia" w:hAnsiTheme="minorHAnsi" w:cstheme="minorHAnsi"/>
              <w:b w:val="0"/>
              <w:bCs w:val="0"/>
              <w:caps w:val="0"/>
              <w:kern w:val="2"/>
              <w:lang w:val="en-US" w:eastAsia="en-US"/>
              <w14:ligatures w14:val="standardContextual"/>
            </w:rPr>
          </w:pPr>
          <w:hyperlink w:anchor="_Toc159854729" w:history="1">
            <w:r w:rsidR="004539D1" w:rsidRPr="004539D1">
              <w:rPr>
                <w:rStyle w:val="Hyperlink"/>
                <w:rFonts w:asciiTheme="minorHAnsi" w:hAnsiTheme="minorHAnsi" w:cstheme="minorHAnsi"/>
              </w:rPr>
              <w:t>SC15 2019 (FISHERY INDICATORS UPDATED)</w:t>
            </w:r>
            <w:r w:rsidR="004539D1" w:rsidRPr="004539D1">
              <w:rPr>
                <w:rFonts w:asciiTheme="minorHAnsi" w:hAnsiTheme="minorHAnsi" w:cstheme="minorHAnsi"/>
                <w:webHidden/>
              </w:rPr>
              <w:tab/>
            </w:r>
            <w:r w:rsidR="004539D1" w:rsidRPr="004539D1">
              <w:rPr>
                <w:rFonts w:asciiTheme="minorHAnsi" w:hAnsiTheme="minorHAnsi" w:cstheme="minorHAnsi"/>
                <w:webHidden/>
              </w:rPr>
              <w:fldChar w:fldCharType="begin"/>
            </w:r>
            <w:r w:rsidR="004539D1" w:rsidRPr="004539D1">
              <w:rPr>
                <w:rFonts w:asciiTheme="minorHAnsi" w:hAnsiTheme="minorHAnsi" w:cstheme="minorHAnsi"/>
                <w:webHidden/>
              </w:rPr>
              <w:instrText xml:space="preserve"> PAGEREF _Toc159854729 \h </w:instrText>
            </w:r>
            <w:r w:rsidR="004539D1" w:rsidRPr="004539D1">
              <w:rPr>
                <w:rFonts w:asciiTheme="minorHAnsi" w:hAnsiTheme="minorHAnsi" w:cstheme="minorHAnsi"/>
                <w:webHidden/>
              </w:rPr>
            </w:r>
            <w:r w:rsidR="004539D1" w:rsidRPr="004539D1">
              <w:rPr>
                <w:rFonts w:asciiTheme="minorHAnsi" w:hAnsiTheme="minorHAnsi" w:cstheme="minorHAnsi"/>
                <w:webHidden/>
              </w:rPr>
              <w:fldChar w:fldCharType="separate"/>
            </w:r>
            <w:r w:rsidR="004539D1" w:rsidRPr="004539D1">
              <w:rPr>
                <w:rFonts w:asciiTheme="minorHAnsi" w:hAnsiTheme="minorHAnsi" w:cstheme="minorHAnsi"/>
                <w:webHidden/>
              </w:rPr>
              <w:t>16</w:t>
            </w:r>
            <w:r w:rsidR="004539D1" w:rsidRPr="004539D1">
              <w:rPr>
                <w:rFonts w:asciiTheme="minorHAnsi" w:hAnsiTheme="minorHAnsi" w:cstheme="minorHAnsi"/>
                <w:webHidden/>
              </w:rPr>
              <w:fldChar w:fldCharType="end"/>
            </w:r>
          </w:hyperlink>
        </w:p>
        <w:p w14:paraId="7B30F6ED" w14:textId="0B1719B0" w:rsidR="004539D1" w:rsidRPr="004539D1" w:rsidRDefault="00000000">
          <w:pPr>
            <w:pStyle w:val="TOC1"/>
            <w:rPr>
              <w:rFonts w:asciiTheme="minorHAnsi" w:eastAsiaTheme="minorEastAsia" w:hAnsiTheme="minorHAnsi" w:cstheme="minorHAnsi"/>
              <w:b w:val="0"/>
              <w:bCs w:val="0"/>
              <w:caps w:val="0"/>
              <w:kern w:val="2"/>
              <w:lang w:val="en-US" w:eastAsia="en-US"/>
              <w14:ligatures w14:val="standardContextual"/>
            </w:rPr>
          </w:pPr>
          <w:hyperlink w:anchor="_Toc159854730" w:history="1">
            <w:r w:rsidR="004539D1" w:rsidRPr="004539D1">
              <w:rPr>
                <w:rStyle w:val="Hyperlink"/>
                <w:rFonts w:asciiTheme="minorHAnsi" w:hAnsiTheme="minorHAnsi" w:cstheme="minorHAnsi"/>
              </w:rPr>
              <w:t>SC14 2018 (FISHERY INDICATORS UPDATED)</w:t>
            </w:r>
            <w:r w:rsidR="004539D1" w:rsidRPr="004539D1">
              <w:rPr>
                <w:rFonts w:asciiTheme="minorHAnsi" w:hAnsiTheme="minorHAnsi" w:cstheme="minorHAnsi"/>
                <w:webHidden/>
              </w:rPr>
              <w:tab/>
            </w:r>
            <w:r w:rsidR="004539D1" w:rsidRPr="004539D1">
              <w:rPr>
                <w:rFonts w:asciiTheme="minorHAnsi" w:hAnsiTheme="minorHAnsi" w:cstheme="minorHAnsi"/>
                <w:webHidden/>
              </w:rPr>
              <w:fldChar w:fldCharType="begin"/>
            </w:r>
            <w:r w:rsidR="004539D1" w:rsidRPr="004539D1">
              <w:rPr>
                <w:rFonts w:asciiTheme="minorHAnsi" w:hAnsiTheme="minorHAnsi" w:cstheme="minorHAnsi"/>
                <w:webHidden/>
              </w:rPr>
              <w:instrText xml:space="preserve"> PAGEREF _Toc159854730 \h </w:instrText>
            </w:r>
            <w:r w:rsidR="004539D1" w:rsidRPr="004539D1">
              <w:rPr>
                <w:rFonts w:asciiTheme="minorHAnsi" w:hAnsiTheme="minorHAnsi" w:cstheme="minorHAnsi"/>
                <w:webHidden/>
              </w:rPr>
            </w:r>
            <w:r w:rsidR="004539D1" w:rsidRPr="004539D1">
              <w:rPr>
                <w:rFonts w:asciiTheme="minorHAnsi" w:hAnsiTheme="minorHAnsi" w:cstheme="minorHAnsi"/>
                <w:webHidden/>
              </w:rPr>
              <w:fldChar w:fldCharType="separate"/>
            </w:r>
            <w:r w:rsidR="004539D1" w:rsidRPr="004539D1">
              <w:rPr>
                <w:rFonts w:asciiTheme="minorHAnsi" w:hAnsiTheme="minorHAnsi" w:cstheme="minorHAnsi"/>
                <w:webHidden/>
              </w:rPr>
              <w:t>16</w:t>
            </w:r>
            <w:r w:rsidR="004539D1" w:rsidRPr="004539D1">
              <w:rPr>
                <w:rFonts w:asciiTheme="minorHAnsi" w:hAnsiTheme="minorHAnsi" w:cstheme="minorHAnsi"/>
                <w:webHidden/>
              </w:rPr>
              <w:fldChar w:fldCharType="end"/>
            </w:r>
          </w:hyperlink>
        </w:p>
        <w:p w14:paraId="207DEF1D" w14:textId="3F1A1DD1" w:rsidR="004539D1" w:rsidRPr="004539D1" w:rsidRDefault="00000000">
          <w:pPr>
            <w:pStyle w:val="TOC1"/>
            <w:rPr>
              <w:rFonts w:asciiTheme="minorHAnsi" w:eastAsiaTheme="minorEastAsia" w:hAnsiTheme="minorHAnsi" w:cstheme="minorHAnsi"/>
              <w:b w:val="0"/>
              <w:bCs w:val="0"/>
              <w:caps w:val="0"/>
              <w:kern w:val="2"/>
              <w:lang w:val="en-US" w:eastAsia="en-US"/>
              <w14:ligatures w14:val="standardContextual"/>
            </w:rPr>
          </w:pPr>
          <w:hyperlink w:anchor="_Toc159854731" w:history="1">
            <w:r w:rsidR="004539D1" w:rsidRPr="004539D1">
              <w:rPr>
                <w:rStyle w:val="Hyperlink"/>
                <w:rFonts w:asciiTheme="minorHAnsi" w:hAnsiTheme="minorHAnsi" w:cstheme="minorHAnsi"/>
              </w:rPr>
              <w:t>SC13 2017 (STOCK ASSESSMENT CONDUCTED)</w:t>
            </w:r>
            <w:r w:rsidR="004539D1" w:rsidRPr="004539D1">
              <w:rPr>
                <w:rFonts w:asciiTheme="minorHAnsi" w:hAnsiTheme="minorHAnsi" w:cstheme="minorHAnsi"/>
                <w:webHidden/>
              </w:rPr>
              <w:tab/>
            </w:r>
            <w:r w:rsidR="004539D1" w:rsidRPr="004539D1">
              <w:rPr>
                <w:rFonts w:asciiTheme="minorHAnsi" w:hAnsiTheme="minorHAnsi" w:cstheme="minorHAnsi"/>
                <w:webHidden/>
              </w:rPr>
              <w:fldChar w:fldCharType="begin"/>
            </w:r>
            <w:r w:rsidR="004539D1" w:rsidRPr="004539D1">
              <w:rPr>
                <w:rFonts w:asciiTheme="minorHAnsi" w:hAnsiTheme="minorHAnsi" w:cstheme="minorHAnsi"/>
                <w:webHidden/>
              </w:rPr>
              <w:instrText xml:space="preserve"> PAGEREF _Toc159854731 \h </w:instrText>
            </w:r>
            <w:r w:rsidR="004539D1" w:rsidRPr="004539D1">
              <w:rPr>
                <w:rFonts w:asciiTheme="minorHAnsi" w:hAnsiTheme="minorHAnsi" w:cstheme="minorHAnsi"/>
                <w:webHidden/>
              </w:rPr>
            </w:r>
            <w:r w:rsidR="004539D1" w:rsidRPr="004539D1">
              <w:rPr>
                <w:rFonts w:asciiTheme="minorHAnsi" w:hAnsiTheme="minorHAnsi" w:cstheme="minorHAnsi"/>
                <w:webHidden/>
              </w:rPr>
              <w:fldChar w:fldCharType="separate"/>
            </w:r>
            <w:r w:rsidR="004539D1" w:rsidRPr="004539D1">
              <w:rPr>
                <w:rFonts w:asciiTheme="minorHAnsi" w:hAnsiTheme="minorHAnsi" w:cstheme="minorHAnsi"/>
                <w:webHidden/>
              </w:rPr>
              <w:t>16</w:t>
            </w:r>
            <w:r w:rsidR="004539D1" w:rsidRPr="004539D1">
              <w:rPr>
                <w:rFonts w:asciiTheme="minorHAnsi" w:hAnsiTheme="minorHAnsi" w:cstheme="minorHAnsi"/>
                <w:webHidden/>
              </w:rPr>
              <w:fldChar w:fldCharType="end"/>
            </w:r>
          </w:hyperlink>
        </w:p>
        <w:p w14:paraId="1A4AFFAF" w14:textId="7C0E9C38" w:rsidR="004539D1" w:rsidRPr="004539D1" w:rsidRDefault="00000000">
          <w:pPr>
            <w:pStyle w:val="TOC1"/>
            <w:rPr>
              <w:rFonts w:asciiTheme="minorHAnsi" w:eastAsiaTheme="minorEastAsia" w:hAnsiTheme="minorHAnsi" w:cstheme="minorHAnsi"/>
              <w:b w:val="0"/>
              <w:bCs w:val="0"/>
              <w:caps w:val="0"/>
              <w:kern w:val="2"/>
              <w:lang w:val="en-US" w:eastAsia="en-US"/>
              <w14:ligatures w14:val="standardContextual"/>
            </w:rPr>
          </w:pPr>
          <w:hyperlink w:anchor="_Toc159854732" w:history="1">
            <w:r w:rsidR="004539D1" w:rsidRPr="004539D1">
              <w:rPr>
                <w:rStyle w:val="Hyperlink"/>
                <w:rFonts w:asciiTheme="minorHAnsi" w:hAnsiTheme="minorHAnsi" w:cstheme="minorHAnsi"/>
              </w:rPr>
              <w:t>References</w:t>
            </w:r>
            <w:r w:rsidR="004539D1" w:rsidRPr="004539D1">
              <w:rPr>
                <w:rFonts w:asciiTheme="minorHAnsi" w:hAnsiTheme="minorHAnsi" w:cstheme="minorHAnsi"/>
                <w:webHidden/>
              </w:rPr>
              <w:tab/>
            </w:r>
            <w:r w:rsidR="004539D1" w:rsidRPr="004539D1">
              <w:rPr>
                <w:rFonts w:asciiTheme="minorHAnsi" w:hAnsiTheme="minorHAnsi" w:cstheme="minorHAnsi"/>
                <w:webHidden/>
              </w:rPr>
              <w:fldChar w:fldCharType="begin"/>
            </w:r>
            <w:r w:rsidR="004539D1" w:rsidRPr="004539D1">
              <w:rPr>
                <w:rFonts w:asciiTheme="minorHAnsi" w:hAnsiTheme="minorHAnsi" w:cstheme="minorHAnsi"/>
                <w:webHidden/>
              </w:rPr>
              <w:instrText xml:space="preserve"> PAGEREF _Toc159854732 \h </w:instrText>
            </w:r>
            <w:r w:rsidR="004539D1" w:rsidRPr="004539D1">
              <w:rPr>
                <w:rFonts w:asciiTheme="minorHAnsi" w:hAnsiTheme="minorHAnsi" w:cstheme="minorHAnsi"/>
                <w:webHidden/>
              </w:rPr>
            </w:r>
            <w:r w:rsidR="004539D1" w:rsidRPr="004539D1">
              <w:rPr>
                <w:rFonts w:asciiTheme="minorHAnsi" w:hAnsiTheme="minorHAnsi" w:cstheme="minorHAnsi"/>
                <w:webHidden/>
              </w:rPr>
              <w:fldChar w:fldCharType="separate"/>
            </w:r>
            <w:r w:rsidR="004539D1" w:rsidRPr="004539D1">
              <w:rPr>
                <w:rFonts w:asciiTheme="minorHAnsi" w:hAnsiTheme="minorHAnsi" w:cstheme="minorHAnsi"/>
                <w:webHidden/>
              </w:rPr>
              <w:t>20</w:t>
            </w:r>
            <w:r w:rsidR="004539D1" w:rsidRPr="004539D1">
              <w:rPr>
                <w:rFonts w:asciiTheme="minorHAnsi" w:hAnsiTheme="minorHAnsi" w:cstheme="minorHAnsi"/>
                <w:webHidden/>
              </w:rPr>
              <w:fldChar w:fldCharType="end"/>
            </w:r>
          </w:hyperlink>
        </w:p>
        <w:p w14:paraId="2EEE6C1D" w14:textId="4A3F8F60" w:rsidR="004B05DF" w:rsidRPr="004539D1" w:rsidRDefault="004B05DF" w:rsidP="004D0AED">
          <w:pPr>
            <w:adjustRightInd w:val="0"/>
            <w:snapToGrid w:val="0"/>
            <w:spacing w:after="240" w:line="240" w:lineRule="auto"/>
            <w:rPr>
              <w:rFonts w:cstheme="minorHAnsi"/>
            </w:rPr>
          </w:pPr>
          <w:r w:rsidRPr="004539D1">
            <w:rPr>
              <w:rFonts w:cstheme="minorHAnsi"/>
              <w:b/>
              <w:bCs/>
              <w:noProof/>
            </w:rPr>
            <w:fldChar w:fldCharType="end"/>
          </w:r>
        </w:p>
      </w:sdtContent>
    </w:sdt>
    <w:p w14:paraId="5B1187D5" w14:textId="77777777" w:rsidR="00CE2779" w:rsidRPr="004539D1" w:rsidRDefault="00CE2779">
      <w:pPr>
        <w:rPr>
          <w:rFonts w:eastAsiaTheme="majorEastAsia" w:cstheme="minorHAnsi"/>
          <w:color w:val="2F5496" w:themeColor="accent1" w:themeShade="BF"/>
          <w:sz w:val="32"/>
          <w:szCs w:val="32"/>
        </w:rPr>
      </w:pPr>
      <w:r w:rsidRPr="004539D1">
        <w:rPr>
          <w:rFonts w:cstheme="minorHAnsi"/>
        </w:rPr>
        <w:br w:type="page"/>
      </w:r>
    </w:p>
    <w:p w14:paraId="414379B4" w14:textId="1309E631" w:rsidR="005A39D1" w:rsidRPr="004539D1" w:rsidRDefault="005A39D1" w:rsidP="00CE2779">
      <w:pPr>
        <w:pStyle w:val="Heading1"/>
        <w:adjustRightInd w:val="0"/>
        <w:snapToGrid w:val="0"/>
        <w:spacing w:before="0" w:line="240" w:lineRule="auto"/>
        <w:rPr>
          <w:rFonts w:asciiTheme="minorHAnsi" w:hAnsiTheme="minorHAnsi" w:cstheme="minorHAnsi"/>
        </w:rPr>
      </w:pPr>
      <w:bookmarkStart w:id="0" w:name="_Toc159854727"/>
      <w:r w:rsidRPr="004539D1">
        <w:rPr>
          <w:rFonts w:asciiTheme="minorHAnsi" w:hAnsiTheme="minorHAnsi" w:cstheme="minorHAnsi"/>
        </w:rPr>
        <w:lastRenderedPageBreak/>
        <w:t>SC19 2023 (STOCK ASSESSMENT CONDUCTED)</w:t>
      </w:r>
      <w:bookmarkEnd w:id="0"/>
    </w:p>
    <w:p w14:paraId="6AB0858B" w14:textId="77777777" w:rsidR="005A39D1" w:rsidRPr="004539D1" w:rsidRDefault="005A39D1" w:rsidP="005A39D1">
      <w:pPr>
        <w:widowControl w:val="0"/>
        <w:adjustRightInd w:val="0"/>
        <w:snapToGrid w:val="0"/>
        <w:rPr>
          <w:rFonts w:cstheme="minorHAnsi"/>
          <w:lang w:val="en-GB"/>
        </w:rPr>
      </w:pPr>
    </w:p>
    <w:p w14:paraId="11000E40" w14:textId="77777777" w:rsidR="005A39D1" w:rsidRPr="004539D1" w:rsidRDefault="005A39D1" w:rsidP="005A39D1">
      <w:pPr>
        <w:pStyle w:val="Heading5"/>
        <w:keepNext w:val="0"/>
        <w:keepLines w:val="0"/>
        <w:widowControl w:val="0"/>
        <w:numPr>
          <w:ilvl w:val="0"/>
          <w:numId w:val="15"/>
        </w:numPr>
        <w:tabs>
          <w:tab w:val="num" w:pos="360"/>
        </w:tabs>
        <w:adjustRightInd w:val="0"/>
        <w:snapToGrid w:val="0"/>
        <w:spacing w:before="0"/>
        <w:ind w:left="0" w:firstLine="0"/>
        <w:rPr>
          <w:rFonts w:asciiTheme="minorHAnsi" w:hAnsiTheme="minorHAnsi" w:cstheme="minorHAnsi"/>
          <w:b/>
          <w:bCs/>
          <w:color w:val="auto"/>
        </w:rPr>
      </w:pPr>
      <w:r w:rsidRPr="004539D1">
        <w:rPr>
          <w:rFonts w:asciiTheme="minorHAnsi" w:hAnsiTheme="minorHAnsi" w:cstheme="minorHAnsi"/>
          <w:b/>
          <w:bCs/>
          <w:color w:val="auto"/>
        </w:rPr>
        <w:t xml:space="preserve">Stock status and </w:t>
      </w:r>
      <w:proofErr w:type="gramStart"/>
      <w:r w:rsidRPr="004539D1">
        <w:rPr>
          <w:rFonts w:asciiTheme="minorHAnsi" w:hAnsiTheme="minorHAnsi" w:cstheme="minorHAnsi"/>
          <w:b/>
          <w:bCs/>
          <w:color w:val="auto"/>
        </w:rPr>
        <w:t>trends</w:t>
      </w:r>
      <w:proofErr w:type="gramEnd"/>
      <w:r w:rsidRPr="004539D1">
        <w:rPr>
          <w:rFonts w:asciiTheme="minorHAnsi" w:hAnsiTheme="minorHAnsi" w:cstheme="minorHAnsi"/>
          <w:b/>
          <w:bCs/>
          <w:color w:val="auto"/>
        </w:rPr>
        <w:t xml:space="preserve"> </w:t>
      </w:r>
    </w:p>
    <w:p w14:paraId="4A2F5E2E" w14:textId="77777777" w:rsidR="005A39D1" w:rsidRPr="004539D1" w:rsidRDefault="005A39D1" w:rsidP="005A39D1">
      <w:pPr>
        <w:pStyle w:val="ListParagraph"/>
        <w:ind w:left="1080" w:firstLine="0"/>
        <w:rPr>
          <w:rFonts w:asciiTheme="minorHAnsi" w:hAnsiTheme="minorHAnsi" w:cstheme="minorHAnsi"/>
        </w:rPr>
      </w:pPr>
    </w:p>
    <w:p w14:paraId="163CD5A4" w14:textId="77777777" w:rsidR="005A39D1" w:rsidRPr="004539D1" w:rsidRDefault="005A39D1" w:rsidP="005A39D1">
      <w:pPr>
        <w:pStyle w:val="WCPFCpara"/>
        <w:numPr>
          <w:ilvl w:val="0"/>
          <w:numId w:val="16"/>
        </w:numPr>
        <w:spacing w:after="0"/>
        <w:ind w:left="0" w:firstLine="0"/>
        <w:rPr>
          <w:rFonts w:asciiTheme="minorHAnsi" w:hAnsiTheme="minorHAnsi" w:cstheme="minorHAnsi"/>
        </w:rPr>
      </w:pPr>
      <w:r w:rsidRPr="004539D1">
        <w:rPr>
          <w:rFonts w:asciiTheme="minorHAnsi" w:hAnsiTheme="minorHAnsi" w:cstheme="minorHAnsi"/>
        </w:rPr>
        <w:t xml:space="preserve">SC19 noted that the ISC provided the following conclusions on the stock status of North Pacific albacore: </w:t>
      </w:r>
    </w:p>
    <w:p w14:paraId="36DCC0A2" w14:textId="77777777" w:rsidR="005A39D1" w:rsidRPr="004539D1" w:rsidRDefault="005A39D1" w:rsidP="005A39D1">
      <w:pPr>
        <w:pStyle w:val="WCPFC1LIST"/>
        <w:numPr>
          <w:ilvl w:val="0"/>
          <w:numId w:val="17"/>
        </w:numPr>
        <w:spacing w:after="0"/>
        <w:ind w:left="1080"/>
        <w:rPr>
          <w:rFonts w:asciiTheme="minorHAnsi" w:hAnsiTheme="minorHAnsi" w:cstheme="minorHAnsi"/>
        </w:rPr>
      </w:pPr>
      <w:r w:rsidRPr="004539D1">
        <w:rPr>
          <w:rFonts w:asciiTheme="minorHAnsi" w:hAnsiTheme="minorHAnsi" w:cstheme="minorHAnsi"/>
        </w:rPr>
        <w:t xml:space="preserve">Estimated summary biomass (males and females at age-1+) declined at the beginning of the time series until 2004 (Figure NPALB-1A). Subsequently, the summary biomass fluctuated without a trend until 2018, after which the biomass rapidly increased to historically high levels. It should be noted that the high summary biomass estimates during 2018 – 2021 were highly uncertain and should be treated with caution (Figure NPALB-1A). These high summary biomass estimates were due to historically high recruitment estimates in 2017 (~433 million fish; 95% CI: 194 – 671 million fish) (Figure NPALB-1C). However, it should be noted that the recruitment estimates in the last 5 years (2017- 2021) were highly uncertain and should be treated with caution. Estimated female SSB exhibited a similar population trend to the summary biomass, albeit with a lag of several years, and showed an initial decline until 2007 followed by fluctuations without a clear trend through 2021 (Figure NPALB-1B). </w:t>
      </w:r>
    </w:p>
    <w:p w14:paraId="0B24D12E" w14:textId="77777777" w:rsidR="005A39D1" w:rsidRPr="004539D1" w:rsidRDefault="005A39D1" w:rsidP="005A39D1">
      <w:pPr>
        <w:pStyle w:val="WCPFC1LIST"/>
        <w:spacing w:after="0"/>
        <w:ind w:left="1080" w:firstLine="0"/>
        <w:rPr>
          <w:rFonts w:asciiTheme="minorHAnsi" w:hAnsiTheme="minorHAnsi" w:cstheme="minorHAnsi"/>
        </w:rPr>
      </w:pPr>
    </w:p>
    <w:p w14:paraId="42B5BA21" w14:textId="77777777" w:rsidR="005A39D1" w:rsidRPr="004539D1" w:rsidRDefault="005A39D1" w:rsidP="005A39D1">
      <w:pPr>
        <w:pStyle w:val="WCPFC1LIST"/>
        <w:numPr>
          <w:ilvl w:val="0"/>
          <w:numId w:val="17"/>
        </w:numPr>
        <w:spacing w:after="0"/>
        <w:ind w:left="1080"/>
        <w:rPr>
          <w:rFonts w:asciiTheme="minorHAnsi" w:hAnsiTheme="minorHAnsi" w:cstheme="minorHAnsi"/>
        </w:rPr>
      </w:pPr>
      <w:r w:rsidRPr="004539D1">
        <w:rPr>
          <w:rFonts w:asciiTheme="minorHAnsi" w:hAnsiTheme="minorHAnsi" w:cstheme="minorHAnsi"/>
        </w:rPr>
        <w:t>The average fishing intensity during 2018 – 2020 was estimated to be F59</w:t>
      </w:r>
      <w:r w:rsidRPr="004539D1">
        <w:rPr>
          <w:rFonts w:asciiTheme="minorHAnsi" w:hAnsiTheme="minorHAnsi" w:cstheme="minorHAnsi"/>
          <w:vertAlign w:val="subscript"/>
        </w:rPr>
        <w:t>%SPR</w:t>
      </w:r>
      <w:r w:rsidRPr="004539D1">
        <w:rPr>
          <w:rFonts w:asciiTheme="minorHAnsi" w:hAnsiTheme="minorHAnsi" w:cstheme="minorHAnsi"/>
        </w:rPr>
        <w:t xml:space="preserve"> (95% CI: F72</w:t>
      </w:r>
      <w:r w:rsidRPr="004539D1">
        <w:rPr>
          <w:rFonts w:asciiTheme="minorHAnsi" w:hAnsiTheme="minorHAnsi" w:cstheme="minorHAnsi"/>
          <w:vertAlign w:val="subscript"/>
        </w:rPr>
        <w:t>%SPR</w:t>
      </w:r>
      <w:r w:rsidRPr="004539D1">
        <w:rPr>
          <w:rFonts w:asciiTheme="minorHAnsi" w:hAnsiTheme="minorHAnsi" w:cstheme="minorHAnsi"/>
        </w:rPr>
        <w:t xml:space="preserve"> – F46</w:t>
      </w:r>
      <w:r w:rsidRPr="004539D1">
        <w:rPr>
          <w:rFonts w:asciiTheme="minorHAnsi" w:hAnsiTheme="minorHAnsi" w:cstheme="minorHAnsi"/>
          <w:vertAlign w:val="subscript"/>
        </w:rPr>
        <w:t>%SPR</w:t>
      </w:r>
      <w:r w:rsidRPr="004539D1">
        <w:rPr>
          <w:rFonts w:asciiTheme="minorHAnsi" w:hAnsiTheme="minorHAnsi" w:cstheme="minorHAnsi"/>
        </w:rPr>
        <w:t>), which was relatively moderate and resulted in a population with an SPR of approximately 59%. Instantaneous fishing mortality at age (F-at-age) was similar in both sexes through age-5, peaking at age-4 and declining to a low at age-6, after which males experienced higher F-at-age than females up to age 12 (Figure NPALB-2). Juvenile albacore aged 2 to 4 years comprised approximately 64% of the annual catch-at-age in numbers between 1994 and 2021 (Figure NPALB-3) due to the larger fishery impact of surface fisheries (primarily troll, pole-and-line), which remove juvenile fish, relative to longline fisheries, which primarily remove adult fish (Figure NPALB-4).</w:t>
      </w:r>
    </w:p>
    <w:p w14:paraId="4DD6C857" w14:textId="670B973C" w:rsidR="005A39D1" w:rsidRPr="004539D1" w:rsidRDefault="005A39D1" w:rsidP="005A39D1">
      <w:pPr>
        <w:pStyle w:val="WCPFC1LIST"/>
        <w:spacing w:after="0"/>
        <w:ind w:left="0" w:firstLine="0"/>
        <w:rPr>
          <w:rFonts w:asciiTheme="minorHAnsi" w:hAnsiTheme="minorHAnsi" w:cstheme="minorHAnsi"/>
        </w:rPr>
      </w:pPr>
      <w:r w:rsidRPr="004539D1">
        <w:rPr>
          <w:rFonts w:asciiTheme="minorHAnsi" w:hAnsiTheme="minorHAnsi" w:cstheme="minorHAnsi"/>
        </w:rPr>
        <w:t xml:space="preserve"> </w:t>
      </w:r>
    </w:p>
    <w:p w14:paraId="43D08201" w14:textId="77777777" w:rsidR="005A39D1" w:rsidRPr="004539D1" w:rsidRDefault="005A39D1" w:rsidP="005A39D1">
      <w:pPr>
        <w:pStyle w:val="WCPFC1LIST"/>
        <w:numPr>
          <w:ilvl w:val="0"/>
          <w:numId w:val="17"/>
        </w:numPr>
        <w:spacing w:after="0"/>
        <w:ind w:left="1080"/>
        <w:rPr>
          <w:rFonts w:asciiTheme="minorHAnsi" w:hAnsiTheme="minorHAnsi" w:cstheme="minorHAnsi"/>
        </w:rPr>
      </w:pPr>
      <w:r w:rsidRPr="004539D1">
        <w:rPr>
          <w:rFonts w:asciiTheme="minorHAnsi" w:hAnsiTheme="minorHAnsi" w:cstheme="minorHAnsi"/>
        </w:rPr>
        <w:t>Stock status is depicted in relation to the target (F45</w:t>
      </w:r>
      <w:r w:rsidRPr="004539D1">
        <w:rPr>
          <w:rFonts w:asciiTheme="minorHAnsi" w:hAnsiTheme="minorHAnsi" w:cstheme="minorHAnsi"/>
          <w:vertAlign w:val="subscript"/>
        </w:rPr>
        <w:t>%SPR</w:t>
      </w:r>
      <w:r w:rsidRPr="004539D1">
        <w:rPr>
          <w:rFonts w:asciiTheme="minorHAnsi" w:hAnsiTheme="minorHAnsi" w:cstheme="minorHAnsi"/>
        </w:rPr>
        <w:t>,), threshold (30%SSB</w:t>
      </w:r>
      <w:r w:rsidRPr="004539D1">
        <w:rPr>
          <w:rFonts w:asciiTheme="minorHAnsi" w:hAnsiTheme="minorHAnsi" w:cstheme="minorHAnsi"/>
          <w:vertAlign w:val="subscript"/>
        </w:rPr>
        <w:t>current, F=0</w:t>
      </w:r>
      <w:r w:rsidRPr="004539D1">
        <w:rPr>
          <w:rFonts w:asciiTheme="minorHAnsi" w:hAnsiTheme="minorHAnsi" w:cstheme="minorHAnsi"/>
        </w:rPr>
        <w:t>), and limit (14%SSB</w:t>
      </w:r>
      <w:r w:rsidRPr="004539D1">
        <w:rPr>
          <w:rFonts w:asciiTheme="minorHAnsi" w:hAnsiTheme="minorHAnsi" w:cstheme="minorHAnsi"/>
          <w:vertAlign w:val="subscript"/>
        </w:rPr>
        <w:t>current, F=0</w:t>
      </w:r>
      <w:r w:rsidRPr="004539D1">
        <w:rPr>
          <w:rFonts w:asciiTheme="minorHAnsi" w:hAnsiTheme="minorHAnsi" w:cstheme="minorHAnsi"/>
        </w:rPr>
        <w:t>) reference points (Figure NPALB-5A; Table NPALB-1). The estimated female SSB has never fallen below the threshold and limit reference points since 1994, albeit with large uncertainty in the terminal year (2021) estimates. However, the estimated fishing intensity for five years (1999, 2002, 2003, 2004, and 2007) have exceeded the target reference point. Even when alternative hypotheses about key model uncertainties such as growth were evaluated, the point estimate of female SSB in 2021 (SSB</w:t>
      </w:r>
      <w:r w:rsidRPr="004539D1">
        <w:rPr>
          <w:rFonts w:asciiTheme="minorHAnsi" w:hAnsiTheme="minorHAnsi" w:cstheme="minorHAnsi"/>
          <w:vertAlign w:val="subscript"/>
        </w:rPr>
        <w:t>2021</w:t>
      </w:r>
      <w:r w:rsidRPr="004539D1">
        <w:rPr>
          <w:rFonts w:asciiTheme="minorHAnsi" w:hAnsiTheme="minorHAnsi" w:cstheme="minorHAnsi"/>
        </w:rPr>
        <w:t>) did not fall below the threshold and limit reference points, although the risk increases with this more extreme assumption (Figure NPALB-5B). However, estimated average fishing intensity during 2018-2020 (F</w:t>
      </w:r>
      <w:r w:rsidRPr="004539D1">
        <w:rPr>
          <w:rFonts w:asciiTheme="minorHAnsi" w:hAnsiTheme="minorHAnsi" w:cstheme="minorHAnsi"/>
          <w:vertAlign w:val="subscript"/>
        </w:rPr>
        <w:t>2018-2020</w:t>
      </w:r>
      <w:r w:rsidRPr="004539D1">
        <w:rPr>
          <w:rFonts w:asciiTheme="minorHAnsi" w:hAnsiTheme="minorHAnsi" w:cstheme="minorHAnsi"/>
        </w:rPr>
        <w:t xml:space="preserve">) did exceed the target reference point under one of these alternative hypotheses but did not exceed the average fishing intensity during 2002 – 2004 (Figure NPALB-5B; Table NPALB-1). </w:t>
      </w:r>
    </w:p>
    <w:p w14:paraId="1DAE97F5" w14:textId="77777777" w:rsidR="005A39D1" w:rsidRPr="004539D1" w:rsidRDefault="005A39D1" w:rsidP="005A39D1">
      <w:pPr>
        <w:pStyle w:val="WCPFC1LIST"/>
        <w:spacing w:after="0"/>
        <w:ind w:left="0" w:firstLine="0"/>
        <w:rPr>
          <w:rFonts w:asciiTheme="minorHAnsi" w:hAnsiTheme="minorHAnsi" w:cstheme="minorHAnsi"/>
        </w:rPr>
      </w:pPr>
    </w:p>
    <w:p w14:paraId="31183662" w14:textId="77777777" w:rsidR="005A39D1" w:rsidRPr="004539D1" w:rsidRDefault="005A39D1" w:rsidP="005A39D1">
      <w:pPr>
        <w:pStyle w:val="WCPFC1LIST"/>
        <w:numPr>
          <w:ilvl w:val="0"/>
          <w:numId w:val="17"/>
        </w:numPr>
        <w:spacing w:after="0"/>
        <w:ind w:left="1080"/>
        <w:rPr>
          <w:rFonts w:asciiTheme="minorHAnsi" w:hAnsiTheme="minorHAnsi" w:cstheme="minorHAnsi"/>
        </w:rPr>
      </w:pPr>
      <w:r w:rsidRPr="004539D1">
        <w:rPr>
          <w:rFonts w:asciiTheme="minorHAnsi" w:hAnsiTheme="minorHAnsi" w:cstheme="minorHAnsi"/>
        </w:rPr>
        <w:t>The SSB</w:t>
      </w:r>
      <w:r w:rsidRPr="004539D1">
        <w:rPr>
          <w:rFonts w:asciiTheme="minorHAnsi" w:hAnsiTheme="minorHAnsi" w:cstheme="minorHAnsi"/>
          <w:vertAlign w:val="subscript"/>
        </w:rPr>
        <w:t>2021</w:t>
      </w:r>
      <w:r w:rsidRPr="004539D1">
        <w:rPr>
          <w:rFonts w:asciiTheme="minorHAnsi" w:hAnsiTheme="minorHAnsi" w:cstheme="minorHAnsi"/>
        </w:rPr>
        <w:t xml:space="preserve"> was estimated to be approximately 54% (95% CI: 40 – 68%) of </w:t>
      </w:r>
      <w:proofErr w:type="spellStart"/>
      <w:r w:rsidRPr="004539D1">
        <w:rPr>
          <w:rFonts w:asciiTheme="minorHAnsi" w:hAnsiTheme="minorHAnsi" w:cstheme="minorHAnsi"/>
        </w:rPr>
        <w:t>SSB</w:t>
      </w:r>
      <w:r w:rsidRPr="004539D1">
        <w:rPr>
          <w:rFonts w:asciiTheme="minorHAnsi" w:hAnsiTheme="minorHAnsi" w:cstheme="minorHAnsi"/>
          <w:vertAlign w:val="subscript"/>
        </w:rPr>
        <w:t>current</w:t>
      </w:r>
      <w:proofErr w:type="spellEnd"/>
      <w:r w:rsidRPr="004539D1">
        <w:rPr>
          <w:rFonts w:asciiTheme="minorHAnsi" w:hAnsiTheme="minorHAnsi" w:cstheme="minorHAnsi"/>
          <w:vertAlign w:val="subscript"/>
        </w:rPr>
        <w:t>, F=0</w:t>
      </w:r>
      <w:r w:rsidRPr="004539D1">
        <w:rPr>
          <w:rFonts w:asciiTheme="minorHAnsi" w:hAnsiTheme="minorHAnsi" w:cstheme="minorHAnsi"/>
        </w:rPr>
        <w:t xml:space="preserve"> and 1.8 (95% CI: 1.3 – 2.3) times greater than the estimated threshold reference point (Figure NPALB-6A and Table NPALB-1). The estimated current fishing intensity (F</w:t>
      </w:r>
      <w:r w:rsidRPr="004539D1">
        <w:rPr>
          <w:rFonts w:asciiTheme="minorHAnsi" w:hAnsiTheme="minorHAnsi" w:cstheme="minorHAnsi"/>
          <w:vertAlign w:val="subscript"/>
        </w:rPr>
        <w:t>2018-2020</w:t>
      </w:r>
      <w:r w:rsidRPr="004539D1">
        <w:rPr>
          <w:rFonts w:asciiTheme="minorHAnsi" w:hAnsiTheme="minorHAnsi" w:cstheme="minorHAnsi"/>
        </w:rPr>
        <w:t>) was estimated to be F59</w:t>
      </w:r>
      <w:r w:rsidRPr="004539D1">
        <w:rPr>
          <w:rFonts w:asciiTheme="minorHAnsi" w:hAnsiTheme="minorHAnsi" w:cstheme="minorHAnsi"/>
          <w:vertAlign w:val="subscript"/>
        </w:rPr>
        <w:t>%SPR</w:t>
      </w:r>
      <w:r w:rsidRPr="004539D1">
        <w:rPr>
          <w:rFonts w:asciiTheme="minorHAnsi" w:hAnsiTheme="minorHAnsi" w:cstheme="minorHAnsi"/>
        </w:rPr>
        <w:t xml:space="preserve"> (95% CI: F72</w:t>
      </w:r>
      <w:r w:rsidRPr="004539D1">
        <w:rPr>
          <w:rFonts w:asciiTheme="minorHAnsi" w:hAnsiTheme="minorHAnsi" w:cstheme="minorHAnsi"/>
          <w:vertAlign w:val="subscript"/>
        </w:rPr>
        <w:t>%SPR</w:t>
      </w:r>
      <w:r w:rsidRPr="004539D1">
        <w:rPr>
          <w:rFonts w:asciiTheme="minorHAnsi" w:hAnsiTheme="minorHAnsi" w:cstheme="minorHAnsi"/>
        </w:rPr>
        <w:t xml:space="preserve"> – F46</w:t>
      </w:r>
      <w:r w:rsidRPr="004539D1">
        <w:rPr>
          <w:rFonts w:asciiTheme="minorHAnsi" w:hAnsiTheme="minorHAnsi" w:cstheme="minorHAnsi"/>
          <w:vertAlign w:val="subscript"/>
        </w:rPr>
        <w:t>%SPR</w:t>
      </w:r>
      <w:r w:rsidRPr="004539D1">
        <w:rPr>
          <w:rFonts w:asciiTheme="minorHAnsi" w:hAnsiTheme="minorHAnsi" w:cstheme="minorHAnsi"/>
        </w:rPr>
        <w:t>) and was lower than both the F45</w:t>
      </w:r>
      <w:r w:rsidRPr="004539D1">
        <w:rPr>
          <w:rFonts w:asciiTheme="minorHAnsi" w:hAnsiTheme="minorHAnsi" w:cstheme="minorHAnsi"/>
          <w:vertAlign w:val="subscript"/>
        </w:rPr>
        <w:t>%SPR</w:t>
      </w:r>
      <w:r w:rsidRPr="004539D1">
        <w:rPr>
          <w:rFonts w:asciiTheme="minorHAnsi" w:hAnsiTheme="minorHAnsi" w:cstheme="minorHAnsi"/>
        </w:rPr>
        <w:t xml:space="preserve"> target reference point and the average fishing intensity during 2002 – 2004 (Figure NPALB-6B and Table NPALB-1). </w:t>
      </w:r>
    </w:p>
    <w:p w14:paraId="08EB1529" w14:textId="77777777" w:rsidR="005A39D1" w:rsidRPr="004539D1" w:rsidRDefault="005A39D1" w:rsidP="005A39D1">
      <w:pPr>
        <w:pStyle w:val="WCPFCpara"/>
        <w:spacing w:after="0"/>
        <w:ind w:left="0" w:firstLine="0"/>
        <w:rPr>
          <w:rFonts w:asciiTheme="minorHAnsi" w:hAnsiTheme="minorHAnsi" w:cstheme="minorHAnsi"/>
        </w:rPr>
      </w:pPr>
    </w:p>
    <w:p w14:paraId="3D978B47" w14:textId="77777777" w:rsidR="005A39D1" w:rsidRPr="004539D1" w:rsidRDefault="005A39D1" w:rsidP="005A39D1">
      <w:pPr>
        <w:pStyle w:val="WCPFCpara"/>
        <w:numPr>
          <w:ilvl w:val="0"/>
          <w:numId w:val="16"/>
        </w:numPr>
        <w:spacing w:after="0"/>
        <w:ind w:left="0" w:firstLine="0"/>
        <w:rPr>
          <w:rFonts w:asciiTheme="minorHAnsi" w:hAnsiTheme="minorHAnsi" w:cstheme="minorHAnsi"/>
        </w:rPr>
      </w:pPr>
      <w:r w:rsidRPr="004539D1">
        <w:rPr>
          <w:rFonts w:asciiTheme="minorHAnsi" w:hAnsiTheme="minorHAnsi" w:cstheme="minorHAnsi"/>
        </w:rPr>
        <w:t xml:space="preserve">SC19 noted the following stock status from ISC: </w:t>
      </w:r>
    </w:p>
    <w:p w14:paraId="79C70445" w14:textId="77777777" w:rsidR="005A39D1" w:rsidRPr="004539D1" w:rsidRDefault="005A39D1" w:rsidP="005A39D1">
      <w:pPr>
        <w:pStyle w:val="WCPFC1LIST"/>
        <w:numPr>
          <w:ilvl w:val="0"/>
          <w:numId w:val="18"/>
        </w:numPr>
        <w:spacing w:after="0"/>
        <w:ind w:left="1080"/>
        <w:rPr>
          <w:rFonts w:asciiTheme="minorHAnsi" w:hAnsiTheme="minorHAnsi" w:cstheme="minorHAnsi"/>
          <w:bCs/>
        </w:rPr>
      </w:pPr>
      <w:r w:rsidRPr="004539D1">
        <w:rPr>
          <w:rFonts w:asciiTheme="minorHAnsi" w:hAnsiTheme="minorHAnsi" w:cstheme="minorHAnsi"/>
        </w:rPr>
        <w:lastRenderedPageBreak/>
        <w:t>The stock is likely not overfished relative to the threshold (30%SSB</w:t>
      </w:r>
      <w:r w:rsidRPr="004539D1">
        <w:rPr>
          <w:rFonts w:asciiTheme="minorHAnsi" w:hAnsiTheme="minorHAnsi" w:cstheme="minorHAnsi"/>
          <w:vertAlign w:val="subscript"/>
        </w:rPr>
        <w:t>current, F=0</w:t>
      </w:r>
      <w:r w:rsidRPr="004539D1">
        <w:rPr>
          <w:rFonts w:asciiTheme="minorHAnsi" w:hAnsiTheme="minorHAnsi" w:cstheme="minorHAnsi"/>
        </w:rPr>
        <w:t>) and limit (14%SSB</w:t>
      </w:r>
      <w:r w:rsidRPr="004539D1">
        <w:rPr>
          <w:rFonts w:asciiTheme="minorHAnsi" w:hAnsiTheme="minorHAnsi" w:cstheme="minorHAnsi"/>
          <w:vertAlign w:val="subscript"/>
        </w:rPr>
        <w:t>current, F=0</w:t>
      </w:r>
      <w:r w:rsidRPr="004539D1">
        <w:rPr>
          <w:rFonts w:asciiTheme="minorHAnsi" w:hAnsiTheme="minorHAnsi" w:cstheme="minorHAnsi"/>
        </w:rPr>
        <w:t>) reference points adopted by the WCPFC and IATTC, and</w:t>
      </w:r>
    </w:p>
    <w:p w14:paraId="210949BB" w14:textId="77777777" w:rsidR="005A39D1" w:rsidRPr="004539D1" w:rsidRDefault="005A39D1" w:rsidP="005A39D1">
      <w:pPr>
        <w:pStyle w:val="WCPFC1LIST"/>
        <w:spacing w:after="0"/>
        <w:ind w:left="1080" w:firstLine="0"/>
        <w:rPr>
          <w:rFonts w:asciiTheme="minorHAnsi" w:hAnsiTheme="minorHAnsi" w:cstheme="minorHAnsi"/>
          <w:bCs/>
        </w:rPr>
      </w:pPr>
    </w:p>
    <w:p w14:paraId="62FBD755" w14:textId="77777777" w:rsidR="005A39D1" w:rsidRPr="004539D1" w:rsidRDefault="005A39D1" w:rsidP="005A39D1">
      <w:pPr>
        <w:pStyle w:val="WCPFC1LIST"/>
        <w:numPr>
          <w:ilvl w:val="0"/>
          <w:numId w:val="18"/>
        </w:numPr>
        <w:spacing w:after="0"/>
        <w:ind w:left="1080"/>
        <w:rPr>
          <w:rFonts w:asciiTheme="minorHAnsi" w:hAnsiTheme="minorHAnsi" w:cstheme="minorHAnsi"/>
          <w:bCs/>
        </w:rPr>
      </w:pPr>
      <w:r w:rsidRPr="004539D1">
        <w:rPr>
          <w:rFonts w:asciiTheme="minorHAnsi" w:hAnsiTheme="minorHAnsi" w:cstheme="minorHAnsi"/>
        </w:rPr>
        <w:t>The stock is likely not experiencing overfishing relative to the adopted target reference point (F45</w:t>
      </w:r>
      <w:r w:rsidRPr="004539D1">
        <w:rPr>
          <w:rFonts w:asciiTheme="minorHAnsi" w:hAnsiTheme="minorHAnsi" w:cstheme="minorHAnsi"/>
          <w:vertAlign w:val="subscript"/>
        </w:rPr>
        <w:t>%SPR</w:t>
      </w:r>
      <w:r w:rsidRPr="004539D1">
        <w:rPr>
          <w:rFonts w:asciiTheme="minorHAnsi" w:hAnsiTheme="minorHAnsi" w:cstheme="minorHAnsi"/>
        </w:rPr>
        <w:t xml:space="preserve">). </w:t>
      </w:r>
    </w:p>
    <w:p w14:paraId="46C0D17D" w14:textId="77777777" w:rsidR="005A39D1" w:rsidRPr="004539D1" w:rsidRDefault="005A39D1" w:rsidP="005A39D1">
      <w:pPr>
        <w:pStyle w:val="WCPFC1LIST"/>
        <w:spacing w:after="0"/>
        <w:ind w:left="0" w:firstLine="0"/>
        <w:rPr>
          <w:rFonts w:asciiTheme="minorHAnsi" w:hAnsiTheme="minorHAnsi" w:cstheme="minorHAnsi"/>
          <w:bCs/>
        </w:rPr>
      </w:pPr>
    </w:p>
    <w:p w14:paraId="7280B2EA" w14:textId="77777777" w:rsidR="005A39D1" w:rsidRPr="004539D1" w:rsidRDefault="005A39D1" w:rsidP="005A39D1">
      <w:pPr>
        <w:pStyle w:val="WCPFC1LIST"/>
        <w:numPr>
          <w:ilvl w:val="0"/>
          <w:numId w:val="18"/>
        </w:numPr>
        <w:spacing w:after="0"/>
        <w:ind w:left="1080"/>
        <w:rPr>
          <w:rFonts w:asciiTheme="minorHAnsi" w:hAnsiTheme="minorHAnsi" w:cstheme="minorHAnsi"/>
          <w:bCs/>
        </w:rPr>
      </w:pPr>
      <w:r w:rsidRPr="004539D1">
        <w:rPr>
          <w:rFonts w:asciiTheme="minorHAnsi" w:hAnsiTheme="minorHAnsi" w:cstheme="minorHAnsi"/>
        </w:rPr>
        <w:t xml:space="preserve">Current fishing intensity (F2018-2020) is lower than the fishing intensity from the 2002-2004 period (the reference level for IATTC Resolution C-05-02 and WCPFC CMM 2019-03).  </w:t>
      </w:r>
    </w:p>
    <w:p w14:paraId="4E5CAF72" w14:textId="77777777" w:rsidR="005A39D1" w:rsidRPr="004539D1" w:rsidRDefault="005A39D1" w:rsidP="005A39D1">
      <w:pPr>
        <w:pStyle w:val="Heading5"/>
        <w:keepNext w:val="0"/>
        <w:keepLines w:val="0"/>
        <w:widowControl w:val="0"/>
        <w:adjustRightInd w:val="0"/>
        <w:snapToGrid w:val="0"/>
        <w:spacing w:before="0"/>
        <w:rPr>
          <w:rFonts w:asciiTheme="minorHAnsi" w:hAnsiTheme="minorHAnsi" w:cstheme="minorHAnsi"/>
          <w:b/>
          <w:bCs/>
          <w:color w:val="auto"/>
        </w:rPr>
      </w:pPr>
    </w:p>
    <w:p w14:paraId="54C38CBE" w14:textId="77777777" w:rsidR="005A39D1" w:rsidRPr="004539D1" w:rsidRDefault="005A39D1" w:rsidP="005A39D1">
      <w:pPr>
        <w:pStyle w:val="Heading5"/>
        <w:keepNext w:val="0"/>
        <w:keepLines w:val="0"/>
        <w:widowControl w:val="0"/>
        <w:numPr>
          <w:ilvl w:val="0"/>
          <w:numId w:val="15"/>
        </w:numPr>
        <w:tabs>
          <w:tab w:val="num" w:pos="360"/>
        </w:tabs>
        <w:adjustRightInd w:val="0"/>
        <w:snapToGrid w:val="0"/>
        <w:spacing w:before="0"/>
        <w:ind w:left="0" w:firstLine="0"/>
        <w:rPr>
          <w:rFonts w:asciiTheme="minorHAnsi" w:hAnsiTheme="minorHAnsi" w:cstheme="minorHAnsi"/>
          <w:b/>
          <w:bCs/>
          <w:color w:val="auto"/>
        </w:rPr>
      </w:pPr>
      <w:r w:rsidRPr="004539D1">
        <w:rPr>
          <w:rFonts w:asciiTheme="minorHAnsi" w:hAnsiTheme="minorHAnsi" w:cstheme="minorHAnsi"/>
          <w:b/>
          <w:bCs/>
          <w:color w:val="auto"/>
        </w:rPr>
        <w:t xml:space="preserve">Management advice and implications </w:t>
      </w:r>
    </w:p>
    <w:p w14:paraId="6CFB372D" w14:textId="77777777" w:rsidR="005A39D1" w:rsidRPr="004539D1" w:rsidRDefault="005A39D1" w:rsidP="005A39D1">
      <w:pPr>
        <w:pStyle w:val="ListParagraph"/>
        <w:ind w:left="1080" w:firstLine="0"/>
        <w:rPr>
          <w:rFonts w:asciiTheme="minorHAnsi" w:hAnsiTheme="minorHAnsi" w:cstheme="minorHAnsi"/>
        </w:rPr>
      </w:pPr>
    </w:p>
    <w:p w14:paraId="7C80B799" w14:textId="77777777" w:rsidR="005A39D1" w:rsidRPr="004539D1" w:rsidRDefault="005A39D1" w:rsidP="004539D1">
      <w:pPr>
        <w:pStyle w:val="WCPFCpara"/>
        <w:numPr>
          <w:ilvl w:val="0"/>
          <w:numId w:val="16"/>
        </w:numPr>
        <w:spacing w:after="0"/>
        <w:ind w:left="0" w:firstLine="0"/>
        <w:rPr>
          <w:rFonts w:asciiTheme="minorHAnsi" w:eastAsia="Cambria" w:hAnsiTheme="minorHAnsi" w:cstheme="minorHAnsi"/>
        </w:rPr>
      </w:pPr>
      <w:r w:rsidRPr="004539D1">
        <w:rPr>
          <w:rFonts w:asciiTheme="minorHAnsi" w:hAnsiTheme="minorHAnsi" w:cstheme="minorHAnsi"/>
        </w:rPr>
        <w:t xml:space="preserve">SC19 noted the following conservation information from the ISC: </w:t>
      </w:r>
    </w:p>
    <w:p w14:paraId="71106B54" w14:textId="77777777" w:rsidR="005A39D1" w:rsidRPr="004539D1" w:rsidRDefault="005A39D1" w:rsidP="004539D1">
      <w:pPr>
        <w:pStyle w:val="WCPFC1LIST"/>
        <w:numPr>
          <w:ilvl w:val="0"/>
          <w:numId w:val="19"/>
        </w:numPr>
        <w:spacing w:after="0"/>
        <w:ind w:left="1080"/>
        <w:rPr>
          <w:rFonts w:asciiTheme="minorHAnsi" w:hAnsiTheme="minorHAnsi" w:cstheme="minorHAnsi"/>
        </w:rPr>
      </w:pPr>
      <w:r w:rsidRPr="004539D1">
        <w:rPr>
          <w:rFonts w:asciiTheme="minorHAnsi" w:hAnsiTheme="minorHAnsi" w:cstheme="minorHAnsi"/>
        </w:rPr>
        <w:t>Two harvest scenarios were projected to evaluate impacts on the management objectives of IATTC and WCPFC for this stock: 1) maintain SSB above the limit reference point, with a probability of at least 80% over the next 10 years; 2) maintain depletion of total biomass around historical (2006—2015) average depletion over the next 10 years; and 3) maintain fishing intensity at or below the target reference point with a probability of at least 50% over the next 10 years (WCPFC HS 2022-01; IATTC Resolution C-22-04).</w:t>
      </w:r>
    </w:p>
    <w:p w14:paraId="68162AEE" w14:textId="77777777" w:rsidR="004539D1" w:rsidRPr="004539D1" w:rsidRDefault="004539D1" w:rsidP="004539D1">
      <w:pPr>
        <w:pStyle w:val="WCPFC1LIST"/>
        <w:spacing w:after="0"/>
        <w:ind w:left="1080" w:firstLine="0"/>
        <w:rPr>
          <w:rFonts w:asciiTheme="minorHAnsi" w:hAnsiTheme="minorHAnsi" w:cstheme="minorHAnsi"/>
        </w:rPr>
      </w:pPr>
    </w:p>
    <w:p w14:paraId="1DF2745F" w14:textId="77777777" w:rsidR="005A39D1" w:rsidRPr="004539D1" w:rsidRDefault="005A39D1" w:rsidP="004539D1">
      <w:pPr>
        <w:pStyle w:val="WCPFC1LIST"/>
        <w:numPr>
          <w:ilvl w:val="0"/>
          <w:numId w:val="19"/>
        </w:numPr>
        <w:spacing w:after="0"/>
        <w:ind w:left="1080"/>
        <w:rPr>
          <w:rFonts w:asciiTheme="minorHAnsi" w:hAnsiTheme="minorHAnsi" w:cstheme="minorHAnsi"/>
        </w:rPr>
      </w:pPr>
      <w:r w:rsidRPr="004539D1">
        <w:rPr>
          <w:rFonts w:asciiTheme="minorHAnsi" w:hAnsiTheme="minorHAnsi" w:cstheme="minorHAnsi"/>
        </w:rPr>
        <w:t>The constant fishing intensity scenario showed that the current fishing intensity (F</w:t>
      </w:r>
      <w:r w:rsidRPr="004539D1">
        <w:rPr>
          <w:rFonts w:asciiTheme="minorHAnsi" w:hAnsiTheme="minorHAnsi" w:cstheme="minorHAnsi"/>
          <w:vertAlign w:val="subscript"/>
        </w:rPr>
        <w:t>2018-2020</w:t>
      </w:r>
      <w:r w:rsidRPr="004539D1">
        <w:rPr>
          <w:rFonts w:asciiTheme="minorHAnsi" w:hAnsiTheme="minorHAnsi" w:cstheme="minorHAnsi"/>
        </w:rPr>
        <w:t>) is expected to result in female SSB increasing to 90,098 t (95% CI: 23,218—156,978t) and an SSB/</w:t>
      </w:r>
      <w:proofErr w:type="spellStart"/>
      <w:proofErr w:type="gramStart"/>
      <w:r w:rsidRPr="004539D1">
        <w:rPr>
          <w:rFonts w:asciiTheme="minorHAnsi" w:hAnsiTheme="minorHAnsi" w:cstheme="minorHAnsi"/>
        </w:rPr>
        <w:t>SSB</w:t>
      </w:r>
      <w:r w:rsidRPr="004539D1">
        <w:rPr>
          <w:rFonts w:asciiTheme="minorHAnsi" w:hAnsiTheme="minorHAnsi" w:cstheme="minorHAnsi"/>
          <w:vertAlign w:val="subscript"/>
        </w:rPr>
        <w:t>current,F</w:t>
      </w:r>
      <w:proofErr w:type="spellEnd"/>
      <w:proofErr w:type="gramEnd"/>
      <w:r w:rsidRPr="004539D1">
        <w:rPr>
          <w:rFonts w:asciiTheme="minorHAnsi" w:hAnsiTheme="minorHAnsi" w:cstheme="minorHAnsi"/>
          <w:vertAlign w:val="subscript"/>
        </w:rPr>
        <w:t>=0</w:t>
      </w:r>
      <w:r w:rsidRPr="004539D1">
        <w:rPr>
          <w:rFonts w:asciiTheme="minorHAnsi" w:hAnsiTheme="minorHAnsi" w:cstheme="minorHAnsi"/>
        </w:rPr>
        <w:t xml:space="preserve"> ratio of 0.54 by 2031. Over the next 10 years, there was: 1) a 97.7% probability of the female SSB remaining above the 14%SSB</w:t>
      </w:r>
      <w:r w:rsidRPr="004539D1">
        <w:rPr>
          <w:rFonts w:asciiTheme="minorHAnsi" w:hAnsiTheme="minorHAnsi" w:cstheme="minorHAnsi"/>
          <w:vertAlign w:val="subscript"/>
        </w:rPr>
        <w:t>current, F=0</w:t>
      </w:r>
      <w:r w:rsidRPr="004539D1">
        <w:rPr>
          <w:rFonts w:asciiTheme="minorHAnsi" w:hAnsiTheme="minorHAnsi" w:cstheme="minorHAnsi"/>
        </w:rPr>
        <w:t xml:space="preserve"> LRP for all 10 years; 2) a 72.0% probability of the total biomass (age-1+) being above the average of 2006 – 2015 for any year; and 3) a 95.5% probability of the fishing intensity remaining at or below the F45</w:t>
      </w:r>
      <w:r w:rsidRPr="004539D1">
        <w:rPr>
          <w:rFonts w:asciiTheme="minorHAnsi" w:hAnsiTheme="minorHAnsi" w:cstheme="minorHAnsi"/>
          <w:vertAlign w:val="subscript"/>
        </w:rPr>
        <w:t>%SPR</w:t>
      </w:r>
      <w:r w:rsidRPr="004539D1">
        <w:rPr>
          <w:rFonts w:asciiTheme="minorHAnsi" w:hAnsiTheme="minorHAnsi" w:cstheme="minorHAnsi"/>
        </w:rPr>
        <w:t xml:space="preserve"> TRP for any year (Figure NPALB-7).</w:t>
      </w:r>
    </w:p>
    <w:p w14:paraId="20EF0DA4" w14:textId="77777777" w:rsidR="004539D1" w:rsidRPr="004539D1" w:rsidRDefault="004539D1" w:rsidP="004539D1">
      <w:pPr>
        <w:pStyle w:val="WCPFC1LIST"/>
        <w:spacing w:after="0"/>
        <w:ind w:left="0" w:firstLine="0"/>
        <w:rPr>
          <w:rFonts w:asciiTheme="minorHAnsi" w:hAnsiTheme="minorHAnsi" w:cstheme="minorHAnsi"/>
        </w:rPr>
      </w:pPr>
    </w:p>
    <w:p w14:paraId="796727EA" w14:textId="77777777" w:rsidR="005A39D1" w:rsidRPr="004539D1" w:rsidRDefault="005A39D1" w:rsidP="004539D1">
      <w:pPr>
        <w:pStyle w:val="WCPFC1LIST"/>
        <w:numPr>
          <w:ilvl w:val="0"/>
          <w:numId w:val="19"/>
        </w:numPr>
        <w:spacing w:after="0"/>
        <w:ind w:left="1080"/>
        <w:rPr>
          <w:rFonts w:asciiTheme="minorHAnsi" w:hAnsiTheme="minorHAnsi" w:cstheme="minorHAnsi"/>
        </w:rPr>
      </w:pPr>
      <w:r w:rsidRPr="004539D1">
        <w:rPr>
          <w:rFonts w:asciiTheme="minorHAnsi" w:hAnsiTheme="minorHAnsi" w:cstheme="minorHAnsi"/>
        </w:rPr>
        <w:t xml:space="preserve">The randomly resampled fishing intensity scenario showed that if future fishing intensity is similar to the 2005 – 2019 period, it is expected to result in female SSB increasing to 87,669 t (95% CI: 22,219 – 153,119 t) and </w:t>
      </w:r>
      <w:proofErr w:type="gramStart"/>
      <w:r w:rsidRPr="004539D1">
        <w:rPr>
          <w:rFonts w:asciiTheme="minorHAnsi" w:hAnsiTheme="minorHAnsi" w:cstheme="minorHAnsi"/>
        </w:rPr>
        <w:t>a</w:t>
      </w:r>
      <w:proofErr w:type="gramEnd"/>
      <w:r w:rsidRPr="004539D1">
        <w:rPr>
          <w:rFonts w:asciiTheme="minorHAnsi" w:hAnsiTheme="minorHAnsi" w:cstheme="minorHAnsi"/>
        </w:rPr>
        <w:t xml:space="preserve"> SSB/</w:t>
      </w:r>
      <w:proofErr w:type="spellStart"/>
      <w:r w:rsidRPr="004539D1">
        <w:rPr>
          <w:rFonts w:asciiTheme="minorHAnsi" w:hAnsiTheme="minorHAnsi" w:cstheme="minorHAnsi"/>
        </w:rPr>
        <w:t>SSB</w:t>
      </w:r>
      <w:r w:rsidRPr="004539D1">
        <w:rPr>
          <w:rFonts w:asciiTheme="minorHAnsi" w:hAnsiTheme="minorHAnsi" w:cstheme="minorHAnsi"/>
          <w:vertAlign w:val="subscript"/>
        </w:rPr>
        <w:t>current</w:t>
      </w:r>
      <w:proofErr w:type="spellEnd"/>
      <w:r w:rsidRPr="004539D1">
        <w:rPr>
          <w:rFonts w:asciiTheme="minorHAnsi" w:hAnsiTheme="minorHAnsi" w:cstheme="minorHAnsi"/>
          <w:vertAlign w:val="subscript"/>
        </w:rPr>
        <w:t>, F=0</w:t>
      </w:r>
      <w:r w:rsidRPr="004539D1">
        <w:rPr>
          <w:rFonts w:asciiTheme="minorHAnsi" w:hAnsiTheme="minorHAnsi" w:cstheme="minorHAnsi"/>
        </w:rPr>
        <w:t xml:space="preserve"> ratio of 0.52 by 2031. Over the next 10 years, there was: 1) a 98.1 % probability of the female SSB remaining above the 14%SSB</w:t>
      </w:r>
      <w:r w:rsidRPr="004539D1">
        <w:rPr>
          <w:rFonts w:asciiTheme="minorHAnsi" w:hAnsiTheme="minorHAnsi" w:cstheme="minorHAnsi"/>
          <w:vertAlign w:val="subscript"/>
        </w:rPr>
        <w:t>current, F=0</w:t>
      </w:r>
      <w:r w:rsidRPr="004539D1">
        <w:rPr>
          <w:rFonts w:asciiTheme="minorHAnsi" w:hAnsiTheme="minorHAnsi" w:cstheme="minorHAnsi"/>
        </w:rPr>
        <w:t xml:space="preserve"> LRP for all 10 years; 2) a 69.5 % probability of the total biomass (age-1+) being above the average of 2006 – 2015 for any year; and 3) a 79.6 % probability of the fishing intensity remaining at or below the F45</w:t>
      </w:r>
      <w:r w:rsidRPr="004539D1">
        <w:rPr>
          <w:rFonts w:asciiTheme="minorHAnsi" w:hAnsiTheme="minorHAnsi" w:cstheme="minorHAnsi"/>
          <w:vertAlign w:val="subscript"/>
        </w:rPr>
        <w:t>%SPR</w:t>
      </w:r>
      <w:r w:rsidRPr="004539D1">
        <w:rPr>
          <w:rFonts w:asciiTheme="minorHAnsi" w:hAnsiTheme="minorHAnsi" w:cstheme="minorHAnsi"/>
        </w:rPr>
        <w:t xml:space="preserve"> TRP for any year (Figure NPALB-8).</w:t>
      </w:r>
    </w:p>
    <w:p w14:paraId="0573402F" w14:textId="77777777" w:rsidR="005A39D1" w:rsidRPr="004539D1" w:rsidRDefault="005A39D1" w:rsidP="005A39D1">
      <w:pPr>
        <w:pStyle w:val="WCPFCpara"/>
        <w:spacing w:after="0"/>
        <w:ind w:left="0" w:firstLine="0"/>
        <w:rPr>
          <w:rFonts w:asciiTheme="minorHAnsi" w:hAnsiTheme="minorHAnsi" w:cstheme="minorHAnsi"/>
        </w:rPr>
      </w:pPr>
    </w:p>
    <w:p w14:paraId="31720E70" w14:textId="77777777" w:rsidR="005A39D1" w:rsidRPr="004539D1" w:rsidRDefault="005A39D1" w:rsidP="004539D1">
      <w:pPr>
        <w:pStyle w:val="WCPFCpara"/>
        <w:numPr>
          <w:ilvl w:val="0"/>
          <w:numId w:val="16"/>
        </w:numPr>
        <w:spacing w:after="0"/>
        <w:ind w:left="0" w:firstLine="0"/>
        <w:rPr>
          <w:rFonts w:asciiTheme="minorHAnsi" w:hAnsiTheme="minorHAnsi" w:cstheme="minorHAnsi"/>
        </w:rPr>
      </w:pPr>
      <w:r w:rsidRPr="004539D1">
        <w:rPr>
          <w:rFonts w:asciiTheme="minorHAnsi" w:hAnsiTheme="minorHAnsi" w:cstheme="minorHAnsi"/>
        </w:rPr>
        <w:t xml:space="preserve">Based on these findings, the following conservation information was provided by ISC: </w:t>
      </w:r>
    </w:p>
    <w:p w14:paraId="732E89C6" w14:textId="77777777" w:rsidR="004539D1" w:rsidRPr="004539D1" w:rsidRDefault="005A39D1" w:rsidP="004539D1">
      <w:pPr>
        <w:pStyle w:val="WCPFC1LIST"/>
        <w:numPr>
          <w:ilvl w:val="0"/>
          <w:numId w:val="20"/>
        </w:numPr>
        <w:spacing w:after="0"/>
        <w:ind w:left="1080"/>
        <w:rPr>
          <w:rFonts w:asciiTheme="minorHAnsi" w:hAnsiTheme="minorHAnsi" w:cstheme="minorHAnsi"/>
        </w:rPr>
      </w:pPr>
      <w:r w:rsidRPr="004539D1">
        <w:rPr>
          <w:rFonts w:asciiTheme="minorHAnsi" w:hAnsiTheme="minorHAnsi" w:cstheme="minorHAnsi"/>
        </w:rPr>
        <w:t>If fishing intensity over the next ten years is maintained at the current fishing intensity (F</w:t>
      </w:r>
      <w:r w:rsidRPr="004539D1">
        <w:rPr>
          <w:rFonts w:asciiTheme="minorHAnsi" w:hAnsiTheme="minorHAnsi" w:cstheme="minorHAnsi"/>
          <w:vertAlign w:val="subscript"/>
        </w:rPr>
        <w:t>2018-2020</w:t>
      </w:r>
      <w:r w:rsidRPr="004539D1">
        <w:rPr>
          <w:rFonts w:asciiTheme="minorHAnsi" w:hAnsiTheme="minorHAnsi" w:cstheme="minorHAnsi"/>
        </w:rPr>
        <w:t>), then female SSB is expected to remain around 54%SSB</w:t>
      </w:r>
      <w:r w:rsidRPr="004539D1">
        <w:rPr>
          <w:rFonts w:asciiTheme="minorHAnsi" w:hAnsiTheme="minorHAnsi" w:cstheme="minorHAnsi"/>
          <w:vertAlign w:val="subscript"/>
        </w:rPr>
        <w:t>current, F=0</w:t>
      </w:r>
      <w:r w:rsidRPr="004539D1">
        <w:rPr>
          <w:rFonts w:asciiTheme="minorHAnsi" w:hAnsiTheme="minorHAnsi" w:cstheme="minorHAnsi"/>
        </w:rPr>
        <w:t xml:space="preserve"> (90,098 t), with a 97.7% probability of the female SSB remaining above the 14% </w:t>
      </w:r>
      <w:proofErr w:type="spellStart"/>
      <w:r w:rsidRPr="004539D1">
        <w:rPr>
          <w:rFonts w:asciiTheme="minorHAnsi" w:hAnsiTheme="minorHAnsi" w:cstheme="minorHAnsi"/>
        </w:rPr>
        <w:t>SSB</w:t>
      </w:r>
      <w:r w:rsidRPr="004539D1">
        <w:rPr>
          <w:rFonts w:asciiTheme="minorHAnsi" w:hAnsiTheme="minorHAnsi" w:cstheme="minorHAnsi"/>
          <w:vertAlign w:val="subscript"/>
        </w:rPr>
        <w:t>current</w:t>
      </w:r>
      <w:proofErr w:type="spellEnd"/>
      <w:r w:rsidRPr="004539D1">
        <w:rPr>
          <w:rFonts w:asciiTheme="minorHAnsi" w:hAnsiTheme="minorHAnsi" w:cstheme="minorHAnsi"/>
          <w:vertAlign w:val="subscript"/>
        </w:rPr>
        <w:t>, F=0</w:t>
      </w:r>
      <w:r w:rsidRPr="004539D1">
        <w:rPr>
          <w:rFonts w:asciiTheme="minorHAnsi" w:hAnsiTheme="minorHAnsi" w:cstheme="minorHAnsi"/>
        </w:rPr>
        <w:t xml:space="preserve"> LRP for all ten years, and the management objectives of IATTC and WCPFC will likely be met.</w:t>
      </w:r>
    </w:p>
    <w:p w14:paraId="7FA09D79" w14:textId="0C42A131" w:rsidR="005A39D1" w:rsidRPr="004539D1" w:rsidRDefault="005A39D1" w:rsidP="004539D1">
      <w:pPr>
        <w:pStyle w:val="WCPFC1LIST"/>
        <w:spacing w:after="0"/>
        <w:ind w:left="1080" w:firstLine="0"/>
        <w:rPr>
          <w:rFonts w:asciiTheme="minorHAnsi" w:hAnsiTheme="minorHAnsi" w:cstheme="minorHAnsi"/>
        </w:rPr>
      </w:pPr>
      <w:r w:rsidRPr="004539D1">
        <w:rPr>
          <w:rFonts w:asciiTheme="minorHAnsi" w:hAnsiTheme="minorHAnsi" w:cstheme="minorHAnsi"/>
        </w:rPr>
        <w:t xml:space="preserve"> </w:t>
      </w:r>
    </w:p>
    <w:p w14:paraId="4FC63367" w14:textId="77777777" w:rsidR="005A39D1" w:rsidRPr="004539D1" w:rsidRDefault="005A39D1" w:rsidP="004539D1">
      <w:pPr>
        <w:pStyle w:val="WCPFC1LIST"/>
        <w:numPr>
          <w:ilvl w:val="0"/>
          <w:numId w:val="20"/>
        </w:numPr>
        <w:spacing w:after="0"/>
        <w:ind w:left="1080"/>
        <w:rPr>
          <w:rFonts w:asciiTheme="minorHAnsi" w:hAnsiTheme="minorHAnsi" w:cstheme="minorHAnsi"/>
        </w:rPr>
      </w:pPr>
      <w:r w:rsidRPr="004539D1">
        <w:rPr>
          <w:rFonts w:asciiTheme="minorHAnsi" w:hAnsiTheme="minorHAnsi" w:cstheme="minorHAnsi"/>
        </w:rPr>
        <w:t xml:space="preserve">If fishing intensity over the next ten years is </w:t>
      </w:r>
      <w:proofErr w:type="gramStart"/>
      <w:r w:rsidRPr="004539D1">
        <w:rPr>
          <w:rFonts w:asciiTheme="minorHAnsi" w:hAnsiTheme="minorHAnsi" w:cstheme="minorHAnsi"/>
        </w:rPr>
        <w:t>similar to</w:t>
      </w:r>
      <w:proofErr w:type="gramEnd"/>
      <w:r w:rsidRPr="004539D1">
        <w:rPr>
          <w:rFonts w:asciiTheme="minorHAnsi" w:hAnsiTheme="minorHAnsi" w:cstheme="minorHAnsi"/>
        </w:rPr>
        <w:t xml:space="preserve"> the 2005-2019 period, then female SSB is expected to decrease to 52%SSB</w:t>
      </w:r>
      <w:r w:rsidRPr="004539D1">
        <w:rPr>
          <w:rFonts w:asciiTheme="minorHAnsi" w:hAnsiTheme="minorHAnsi" w:cstheme="minorHAnsi"/>
          <w:position w:val="-2"/>
        </w:rPr>
        <w:t>c</w:t>
      </w:r>
      <w:r w:rsidRPr="004539D1">
        <w:rPr>
          <w:rFonts w:asciiTheme="minorHAnsi" w:hAnsiTheme="minorHAnsi" w:cstheme="minorHAnsi"/>
          <w:position w:val="-2"/>
          <w:vertAlign w:val="subscript"/>
        </w:rPr>
        <w:t>urrent, F=0</w:t>
      </w:r>
      <w:r w:rsidRPr="004539D1">
        <w:rPr>
          <w:rFonts w:asciiTheme="minorHAnsi" w:hAnsiTheme="minorHAnsi" w:cstheme="minorHAnsi"/>
          <w:position w:val="-2"/>
        </w:rPr>
        <w:t xml:space="preserve"> </w:t>
      </w:r>
      <w:r w:rsidRPr="004539D1">
        <w:rPr>
          <w:rFonts w:asciiTheme="minorHAnsi" w:hAnsiTheme="minorHAnsi" w:cstheme="minorHAnsi"/>
        </w:rPr>
        <w:t>(87,669 t), with a 98.1% probability of the female SSB remaining above the 14% SSB</w:t>
      </w:r>
      <w:r w:rsidRPr="004539D1">
        <w:rPr>
          <w:rFonts w:asciiTheme="minorHAnsi" w:hAnsiTheme="minorHAnsi" w:cstheme="minorHAnsi"/>
          <w:position w:val="-2"/>
          <w:vertAlign w:val="subscript"/>
        </w:rPr>
        <w:t>current, F=0</w:t>
      </w:r>
      <w:r w:rsidRPr="004539D1">
        <w:rPr>
          <w:rFonts w:asciiTheme="minorHAnsi" w:hAnsiTheme="minorHAnsi" w:cstheme="minorHAnsi"/>
          <w:position w:val="-2"/>
        </w:rPr>
        <w:t xml:space="preserve"> </w:t>
      </w:r>
      <w:r w:rsidRPr="004539D1">
        <w:rPr>
          <w:rFonts w:asciiTheme="minorHAnsi" w:hAnsiTheme="minorHAnsi" w:cstheme="minorHAnsi"/>
        </w:rPr>
        <w:t xml:space="preserve">LRP for all ten years, and the management objectives of IATTC and WCPFC will likely be met. </w:t>
      </w:r>
    </w:p>
    <w:p w14:paraId="01AEC76B" w14:textId="77777777" w:rsidR="005A39D1" w:rsidRPr="004539D1" w:rsidRDefault="005A39D1" w:rsidP="005A39D1">
      <w:pPr>
        <w:widowControl w:val="0"/>
        <w:adjustRightInd w:val="0"/>
        <w:snapToGrid w:val="0"/>
        <w:rPr>
          <w:rFonts w:cstheme="minorHAnsi"/>
          <w:lang w:val="en-GB"/>
        </w:rPr>
      </w:pPr>
    </w:p>
    <w:p w14:paraId="292514E9" w14:textId="77777777" w:rsidR="005A39D1" w:rsidRPr="004539D1" w:rsidRDefault="005A39D1" w:rsidP="005A39D1">
      <w:pPr>
        <w:widowControl w:val="0"/>
        <w:adjustRightInd w:val="0"/>
        <w:snapToGrid w:val="0"/>
        <w:rPr>
          <w:rFonts w:cstheme="minorHAnsi"/>
        </w:rPr>
      </w:pPr>
      <w:r w:rsidRPr="004539D1">
        <w:rPr>
          <w:rFonts w:cstheme="minorHAnsi"/>
        </w:rPr>
        <w:br w:type="page"/>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134"/>
        <w:gridCol w:w="1276"/>
        <w:gridCol w:w="1701"/>
        <w:gridCol w:w="1842"/>
      </w:tblGrid>
      <w:tr w:rsidR="005A39D1" w:rsidRPr="004539D1" w14:paraId="797B7DCE" w14:textId="77777777" w:rsidTr="00AC1A8B">
        <w:trPr>
          <w:jc w:val="center"/>
        </w:trPr>
        <w:tc>
          <w:tcPr>
            <w:tcW w:w="9072" w:type="dxa"/>
            <w:gridSpan w:val="5"/>
            <w:tcBorders>
              <w:bottom w:val="single" w:sz="12" w:space="0" w:color="auto"/>
            </w:tcBorders>
          </w:tcPr>
          <w:p w14:paraId="0E9FFB9A" w14:textId="77777777" w:rsidR="005A39D1" w:rsidRPr="004539D1" w:rsidRDefault="005A39D1" w:rsidP="00AC1A8B">
            <w:pPr>
              <w:widowControl w:val="0"/>
              <w:adjustRightInd w:val="0"/>
              <w:snapToGrid w:val="0"/>
              <w:jc w:val="both"/>
              <w:rPr>
                <w:rFonts w:cstheme="minorHAnsi"/>
                <w:lang w:val="en-GB"/>
              </w:rPr>
            </w:pPr>
            <w:r w:rsidRPr="004539D1">
              <w:rPr>
                <w:rFonts w:cstheme="minorHAnsi"/>
                <w:lang w:val="en-GB"/>
              </w:rPr>
              <w:lastRenderedPageBreak/>
              <w:br w:type="page"/>
            </w:r>
            <w:r w:rsidRPr="004539D1">
              <w:rPr>
                <w:rFonts w:cstheme="minorHAnsi"/>
                <w:lang w:val="en-GB"/>
              </w:rPr>
              <w:br w:type="page"/>
            </w:r>
            <w:r w:rsidRPr="004539D1">
              <w:rPr>
                <w:rFonts w:cstheme="minorHAnsi"/>
                <w:b/>
                <w:lang w:val="en-GB"/>
              </w:rPr>
              <w:t>Table NPALB-1</w:t>
            </w:r>
            <w:r w:rsidRPr="004539D1">
              <w:rPr>
                <w:rFonts w:cstheme="minorHAnsi"/>
                <w:lang w:val="en-GB"/>
              </w:rPr>
              <w:t xml:space="preserve">. Estimates of maximum sustainable yield (MSY), female spawning stock biomass (SSB), fishing intensity (F), and reference point ratios for north Pacific albacore tuna for: 1) the base case model; 2) two important sensitivity models due to uncertainty in growth parameters; and 3) a model representing an update of the 2020 base case model to 2023 data. SSB0, </w:t>
            </w:r>
            <w:proofErr w:type="spellStart"/>
            <w:r w:rsidRPr="004539D1">
              <w:rPr>
                <w:rFonts w:cstheme="minorHAnsi"/>
                <w:lang w:val="en-GB"/>
              </w:rPr>
              <w:t>SSB</w:t>
            </w:r>
            <w:r w:rsidRPr="004539D1">
              <w:rPr>
                <w:rFonts w:cstheme="minorHAnsi"/>
                <w:vertAlign w:val="subscript"/>
                <w:lang w:val="en-GB"/>
              </w:rPr>
              <w:t>current</w:t>
            </w:r>
            <w:proofErr w:type="spellEnd"/>
            <w:r w:rsidRPr="004539D1">
              <w:rPr>
                <w:rFonts w:cstheme="minorHAnsi"/>
                <w:lang w:val="en-GB"/>
              </w:rPr>
              <w:t xml:space="preserve">, </w:t>
            </w:r>
            <w:r w:rsidRPr="004539D1">
              <w:rPr>
                <w:rFonts w:cstheme="minorHAnsi"/>
                <w:vertAlign w:val="subscript"/>
                <w:lang w:val="en-GB"/>
              </w:rPr>
              <w:t>F=0</w:t>
            </w:r>
            <w:r w:rsidRPr="004539D1">
              <w:rPr>
                <w:rFonts w:cstheme="minorHAnsi"/>
                <w:lang w:val="en-GB"/>
              </w:rPr>
              <w:t xml:space="preserve"> and SSB</w:t>
            </w:r>
            <w:r w:rsidRPr="004539D1">
              <w:rPr>
                <w:rFonts w:cstheme="minorHAnsi"/>
                <w:vertAlign w:val="subscript"/>
                <w:lang w:val="en-GB"/>
              </w:rPr>
              <w:t>MSY</w:t>
            </w:r>
            <w:r w:rsidRPr="004539D1">
              <w:rPr>
                <w:rFonts w:cstheme="minorHAnsi"/>
                <w:lang w:val="en-GB"/>
              </w:rPr>
              <w:t xml:space="preserve"> are the expected female SSB of a population in the equilibrium, unfished state; in the current, dynamic, unfished state; and at MSY, respectively. The Fs in this table are indicators of fishing intensity based on spawning potential ratio (SPR) and calculated as %SPR. SPR is the ratio of the equilibrium SSB per recruit that would result from the estimated F-at-age relative to that of an unfished population. Depletion is calculated as the proportion of the age-1+ biomass during the specified period relative to an unfished age-1+ equilibrium biomass. The model representing an update of the 2020 base case model is </w:t>
            </w:r>
            <w:proofErr w:type="gramStart"/>
            <w:r w:rsidRPr="004539D1">
              <w:rPr>
                <w:rFonts w:cstheme="minorHAnsi"/>
                <w:lang w:val="en-GB"/>
              </w:rPr>
              <w:t>similar to</w:t>
            </w:r>
            <w:proofErr w:type="gramEnd"/>
            <w:r w:rsidRPr="004539D1">
              <w:rPr>
                <w:rFonts w:cstheme="minorHAnsi"/>
                <w:lang w:val="en-GB"/>
              </w:rPr>
              <w:t xml:space="preserve"> but not identical to the 2020 base case model due to changes in data preparation and model structure. </w:t>
            </w:r>
          </w:p>
          <w:p w14:paraId="2A83FBF8" w14:textId="77777777" w:rsidR="005A39D1" w:rsidRPr="004539D1" w:rsidRDefault="005A39D1" w:rsidP="00AC1A8B">
            <w:pPr>
              <w:widowControl w:val="0"/>
              <w:adjustRightInd w:val="0"/>
              <w:snapToGrid w:val="0"/>
              <w:ind w:left="546" w:hanging="182"/>
              <w:jc w:val="both"/>
              <w:rPr>
                <w:rFonts w:cstheme="minorHAnsi"/>
                <w:lang w:val="en-GB"/>
              </w:rPr>
            </w:pPr>
            <w:r w:rsidRPr="004539D1">
              <w:rPr>
                <w:rFonts w:cstheme="minorHAnsi"/>
                <w:lang w:val="en-GB"/>
              </w:rPr>
              <w:t xml:space="preserve">*  Model may not have </w:t>
            </w:r>
            <w:proofErr w:type="gramStart"/>
            <w:r w:rsidRPr="004539D1">
              <w:rPr>
                <w:rFonts w:cstheme="minorHAnsi"/>
                <w:lang w:val="en-GB"/>
              </w:rPr>
              <w:t>converged</w:t>
            </w:r>
            <w:proofErr w:type="gramEnd"/>
            <w:r w:rsidRPr="004539D1">
              <w:rPr>
                <w:rFonts w:cstheme="minorHAnsi"/>
                <w:lang w:val="en-GB"/>
              </w:rPr>
              <w:t xml:space="preserve"> and uncertainty estimates were unreliable because of the lack of a positive, definite Hessian matrix. </w:t>
            </w:r>
          </w:p>
          <w:p w14:paraId="24661557" w14:textId="77777777" w:rsidR="005A39D1" w:rsidRPr="004539D1" w:rsidRDefault="005A39D1" w:rsidP="00AC1A8B">
            <w:pPr>
              <w:widowControl w:val="0"/>
              <w:adjustRightInd w:val="0"/>
              <w:snapToGrid w:val="0"/>
              <w:ind w:left="546" w:hanging="182"/>
              <w:jc w:val="both"/>
              <w:rPr>
                <w:rFonts w:cstheme="minorHAnsi"/>
                <w:lang w:val="en-GB"/>
              </w:rPr>
            </w:pPr>
            <w:proofErr w:type="gramStart"/>
            <w:r w:rsidRPr="004539D1">
              <w:rPr>
                <w:rFonts w:cstheme="minorHAnsi"/>
                <w:lang w:val="en-GB"/>
              </w:rPr>
              <w:t>†  A</w:t>
            </w:r>
            <w:proofErr w:type="gramEnd"/>
            <w:r w:rsidRPr="004539D1">
              <w:rPr>
                <w:rFonts w:cstheme="minorHAnsi"/>
                <w:lang w:val="en-GB"/>
              </w:rPr>
              <w:t xml:space="preserve"> value of &gt;1 for the depletion ratio indicates higher age-1+ biomass in 2021 relative to the 2006 –2015 period. </w:t>
            </w:r>
          </w:p>
          <w:p w14:paraId="7B4D5F94" w14:textId="77777777" w:rsidR="005A39D1" w:rsidRPr="004539D1" w:rsidRDefault="005A39D1" w:rsidP="00AC1A8B">
            <w:pPr>
              <w:widowControl w:val="0"/>
              <w:adjustRightInd w:val="0"/>
              <w:snapToGrid w:val="0"/>
              <w:ind w:left="546" w:hanging="182"/>
              <w:jc w:val="both"/>
              <w:rPr>
                <w:rFonts w:cstheme="minorHAnsi"/>
                <w:lang w:val="en-GB"/>
              </w:rPr>
            </w:pPr>
            <w:proofErr w:type="gramStart"/>
            <w:r w:rsidRPr="004539D1">
              <w:rPr>
                <w:rFonts w:cstheme="minorHAnsi"/>
                <w:lang w:val="en-GB"/>
              </w:rPr>
              <w:t>§  Higher</w:t>
            </w:r>
            <w:proofErr w:type="gramEnd"/>
            <w:r w:rsidRPr="004539D1">
              <w:rPr>
                <w:rFonts w:cstheme="minorHAnsi"/>
                <w:lang w:val="en-GB"/>
              </w:rPr>
              <w:t xml:space="preserve"> %SPR values indicate lower fishing intensity levels. </w:t>
            </w:r>
          </w:p>
          <w:p w14:paraId="62589AB6" w14:textId="77777777" w:rsidR="005A39D1" w:rsidRPr="004539D1" w:rsidRDefault="005A39D1" w:rsidP="00AC1A8B">
            <w:pPr>
              <w:widowControl w:val="0"/>
              <w:adjustRightInd w:val="0"/>
              <w:snapToGrid w:val="0"/>
              <w:ind w:left="546" w:hanging="182"/>
              <w:jc w:val="both"/>
              <w:rPr>
                <w:rFonts w:cstheme="minorHAnsi"/>
                <w:lang w:val="en-GB"/>
              </w:rPr>
            </w:pPr>
            <w:proofErr w:type="gramStart"/>
            <w:r w:rsidRPr="004539D1">
              <w:rPr>
                <w:rFonts w:cstheme="minorHAnsi"/>
                <w:lang w:val="en-GB"/>
              </w:rPr>
              <w:t>¶  Values</w:t>
            </w:r>
            <w:proofErr w:type="gramEnd"/>
            <w:r w:rsidRPr="004539D1">
              <w:rPr>
                <w:rFonts w:cstheme="minorHAnsi"/>
                <w:lang w:val="en-GB"/>
              </w:rPr>
              <w:t xml:space="preserve"> of &gt;1 for ratios of F</w:t>
            </w:r>
            <w:r w:rsidRPr="004539D1">
              <w:rPr>
                <w:rFonts w:cstheme="minorHAnsi"/>
                <w:vertAlign w:val="subscript"/>
                <w:lang w:val="en-GB"/>
              </w:rPr>
              <w:t>%SPR</w:t>
            </w:r>
            <w:r w:rsidRPr="004539D1">
              <w:rPr>
                <w:rFonts w:cstheme="minorHAnsi"/>
                <w:lang w:val="en-GB"/>
              </w:rPr>
              <w:t xml:space="preserve"> to F</w:t>
            </w:r>
            <w:r w:rsidRPr="004539D1">
              <w:rPr>
                <w:rFonts w:cstheme="minorHAnsi"/>
                <w:vertAlign w:val="subscript"/>
                <w:lang w:val="en-GB"/>
              </w:rPr>
              <w:t>%SPR</w:t>
            </w:r>
            <w:r w:rsidRPr="004539D1">
              <w:rPr>
                <w:rFonts w:cstheme="minorHAnsi"/>
                <w:lang w:val="en-GB"/>
              </w:rPr>
              <w:t>-based reference points indicate fishing intensity levels lower than the reference points.</w:t>
            </w:r>
          </w:p>
          <w:p w14:paraId="7C343252" w14:textId="77777777" w:rsidR="005A39D1" w:rsidRPr="004539D1" w:rsidRDefault="005A39D1" w:rsidP="00AC1A8B">
            <w:pPr>
              <w:widowControl w:val="0"/>
              <w:adjustRightInd w:val="0"/>
              <w:snapToGrid w:val="0"/>
              <w:jc w:val="both"/>
              <w:rPr>
                <w:rFonts w:cstheme="minorHAnsi"/>
                <w:lang w:val="en-GB" w:eastAsia="ja-JP"/>
              </w:rPr>
            </w:pPr>
          </w:p>
        </w:tc>
      </w:tr>
      <w:tr w:rsidR="005A39D1" w:rsidRPr="004539D1" w14:paraId="1C9B988E" w14:textId="77777777" w:rsidTr="00AC1A8B">
        <w:trPr>
          <w:trHeight w:val="708"/>
          <w:jc w:val="center"/>
        </w:trPr>
        <w:tc>
          <w:tcPr>
            <w:tcW w:w="3119" w:type="dxa"/>
            <w:tcBorders>
              <w:top w:val="single" w:sz="12" w:space="0" w:color="auto"/>
              <w:bottom w:val="single" w:sz="12" w:space="0" w:color="auto"/>
            </w:tcBorders>
            <w:vAlign w:val="center"/>
          </w:tcPr>
          <w:p w14:paraId="11963828"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Quantity</w:t>
            </w:r>
          </w:p>
        </w:tc>
        <w:tc>
          <w:tcPr>
            <w:tcW w:w="1134" w:type="dxa"/>
            <w:tcBorders>
              <w:top w:val="single" w:sz="12" w:space="0" w:color="auto"/>
              <w:bottom w:val="single" w:sz="12" w:space="0" w:color="auto"/>
            </w:tcBorders>
            <w:vAlign w:val="center"/>
          </w:tcPr>
          <w:p w14:paraId="4AF514CC" w14:textId="77777777" w:rsidR="005A39D1" w:rsidRPr="004539D1" w:rsidRDefault="005A39D1" w:rsidP="00AC1A8B">
            <w:pPr>
              <w:widowControl w:val="0"/>
              <w:adjustRightInd w:val="0"/>
              <w:snapToGrid w:val="0"/>
              <w:jc w:val="center"/>
              <w:rPr>
                <w:rFonts w:cstheme="minorHAnsi"/>
                <w:lang w:val="en-GB"/>
              </w:rPr>
            </w:pPr>
            <w:r w:rsidRPr="004539D1">
              <w:rPr>
                <w:rFonts w:cstheme="minorHAnsi"/>
                <w:lang w:val="en-GB"/>
              </w:rPr>
              <w:t>Base Case</w:t>
            </w:r>
          </w:p>
        </w:tc>
        <w:tc>
          <w:tcPr>
            <w:tcW w:w="1276" w:type="dxa"/>
            <w:tcBorders>
              <w:top w:val="single" w:sz="12" w:space="0" w:color="auto"/>
              <w:bottom w:val="single" w:sz="12" w:space="0" w:color="auto"/>
            </w:tcBorders>
            <w:vAlign w:val="center"/>
          </w:tcPr>
          <w:p w14:paraId="372BADC7" w14:textId="77777777" w:rsidR="005A39D1" w:rsidRPr="004539D1" w:rsidRDefault="005A39D1" w:rsidP="00AC1A8B">
            <w:pPr>
              <w:widowControl w:val="0"/>
              <w:adjustRightInd w:val="0"/>
              <w:snapToGrid w:val="0"/>
              <w:jc w:val="center"/>
              <w:rPr>
                <w:rFonts w:cstheme="minorHAnsi"/>
                <w:lang w:val="en-GB"/>
              </w:rPr>
            </w:pPr>
            <w:r w:rsidRPr="004539D1">
              <w:rPr>
                <w:rFonts w:cstheme="minorHAnsi"/>
                <w:lang w:val="en-GB"/>
              </w:rPr>
              <w:t>Growth</w:t>
            </w:r>
          </w:p>
          <w:p w14:paraId="21B672B4" w14:textId="77777777" w:rsidR="005A39D1" w:rsidRPr="004539D1" w:rsidRDefault="005A39D1" w:rsidP="00AC1A8B">
            <w:pPr>
              <w:widowControl w:val="0"/>
              <w:tabs>
                <w:tab w:val="left" w:pos="626"/>
              </w:tabs>
              <w:adjustRightInd w:val="0"/>
              <w:snapToGrid w:val="0"/>
              <w:jc w:val="center"/>
              <w:rPr>
                <w:rFonts w:cstheme="minorHAnsi"/>
                <w:lang w:val="en-GB"/>
              </w:rPr>
            </w:pPr>
            <w:r w:rsidRPr="004539D1">
              <w:rPr>
                <w:rFonts w:cstheme="minorHAnsi"/>
                <w:lang w:val="en-GB"/>
              </w:rPr>
              <w:t xml:space="preserve">CV = 0.06 for </w:t>
            </w:r>
            <w:proofErr w:type="spellStart"/>
            <w:r w:rsidRPr="004539D1">
              <w:rPr>
                <w:rFonts w:cstheme="minorHAnsi"/>
                <w:lang w:val="en-GB"/>
              </w:rPr>
              <w:t>L</w:t>
            </w:r>
            <w:r w:rsidRPr="004539D1">
              <w:rPr>
                <w:rFonts w:cstheme="minorHAnsi"/>
                <w:vertAlign w:val="subscript"/>
                <w:lang w:val="en-GB"/>
              </w:rPr>
              <w:t>inf</w:t>
            </w:r>
            <w:proofErr w:type="spellEnd"/>
          </w:p>
        </w:tc>
        <w:tc>
          <w:tcPr>
            <w:tcW w:w="1701" w:type="dxa"/>
            <w:tcBorders>
              <w:top w:val="single" w:sz="12" w:space="0" w:color="auto"/>
              <w:bottom w:val="single" w:sz="12" w:space="0" w:color="auto"/>
            </w:tcBorders>
          </w:tcPr>
          <w:p w14:paraId="6F5B1AD6" w14:textId="77777777" w:rsidR="005A39D1" w:rsidRPr="004539D1" w:rsidRDefault="005A39D1" w:rsidP="00AC1A8B">
            <w:pPr>
              <w:widowControl w:val="0"/>
              <w:adjustRightInd w:val="0"/>
              <w:snapToGrid w:val="0"/>
              <w:jc w:val="center"/>
              <w:rPr>
                <w:rFonts w:cstheme="minorHAnsi"/>
                <w:lang w:val="en-GB"/>
              </w:rPr>
            </w:pPr>
            <w:r w:rsidRPr="004539D1">
              <w:rPr>
                <w:rFonts w:cstheme="minorHAnsi"/>
                <w:lang w:val="en-GB"/>
              </w:rPr>
              <w:t>Growth</w:t>
            </w:r>
          </w:p>
          <w:p w14:paraId="15216D78" w14:textId="77777777" w:rsidR="005A39D1" w:rsidRPr="004539D1" w:rsidRDefault="005A39D1" w:rsidP="00AC1A8B">
            <w:pPr>
              <w:widowControl w:val="0"/>
              <w:adjustRightInd w:val="0"/>
              <w:snapToGrid w:val="0"/>
              <w:jc w:val="center"/>
              <w:rPr>
                <w:rFonts w:cstheme="minorHAnsi"/>
                <w:lang w:val="en-GB"/>
              </w:rPr>
            </w:pPr>
            <w:r w:rsidRPr="004539D1">
              <w:rPr>
                <w:rFonts w:cstheme="minorHAnsi"/>
                <w:lang w:val="en-GB"/>
              </w:rPr>
              <w:t>All parameters estimated</w:t>
            </w:r>
          </w:p>
        </w:tc>
        <w:tc>
          <w:tcPr>
            <w:tcW w:w="1842" w:type="dxa"/>
            <w:tcBorders>
              <w:top w:val="single" w:sz="12" w:space="0" w:color="auto"/>
              <w:bottom w:val="single" w:sz="12" w:space="0" w:color="auto"/>
            </w:tcBorders>
            <w:vAlign w:val="center"/>
          </w:tcPr>
          <w:p w14:paraId="3E715376" w14:textId="77777777" w:rsidR="005A39D1" w:rsidRPr="004539D1" w:rsidRDefault="005A39D1" w:rsidP="00AC1A8B">
            <w:pPr>
              <w:widowControl w:val="0"/>
              <w:adjustRightInd w:val="0"/>
              <w:snapToGrid w:val="0"/>
              <w:jc w:val="center"/>
              <w:rPr>
                <w:rFonts w:cstheme="minorHAnsi"/>
                <w:lang w:val="en-GB"/>
              </w:rPr>
            </w:pPr>
            <w:r w:rsidRPr="004539D1">
              <w:rPr>
                <w:rFonts w:cstheme="minorHAnsi"/>
                <w:lang w:val="en-GB"/>
              </w:rPr>
              <w:t>Update of 2020 base case model to 2023 data*</w:t>
            </w:r>
          </w:p>
        </w:tc>
      </w:tr>
      <w:tr w:rsidR="005A39D1" w:rsidRPr="004539D1" w14:paraId="6AC75131" w14:textId="77777777" w:rsidTr="00AC1A8B">
        <w:trPr>
          <w:jc w:val="center"/>
        </w:trPr>
        <w:tc>
          <w:tcPr>
            <w:tcW w:w="3119" w:type="dxa"/>
            <w:tcBorders>
              <w:top w:val="single" w:sz="12" w:space="0" w:color="auto"/>
            </w:tcBorders>
          </w:tcPr>
          <w:p w14:paraId="18384C64"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 xml:space="preserve">MSY (t) </w:t>
            </w:r>
          </w:p>
        </w:tc>
        <w:tc>
          <w:tcPr>
            <w:tcW w:w="1134" w:type="dxa"/>
            <w:tcBorders>
              <w:top w:val="single" w:sz="12" w:space="0" w:color="auto"/>
            </w:tcBorders>
            <w:vAlign w:val="center"/>
          </w:tcPr>
          <w:p w14:paraId="42D752C6"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121,880</w:t>
            </w:r>
          </w:p>
        </w:tc>
        <w:tc>
          <w:tcPr>
            <w:tcW w:w="1276" w:type="dxa"/>
            <w:tcBorders>
              <w:top w:val="single" w:sz="12" w:space="0" w:color="auto"/>
            </w:tcBorders>
            <w:vAlign w:val="center"/>
          </w:tcPr>
          <w:p w14:paraId="598F437B"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93,167</w:t>
            </w:r>
          </w:p>
        </w:tc>
        <w:tc>
          <w:tcPr>
            <w:tcW w:w="1701" w:type="dxa"/>
            <w:tcBorders>
              <w:top w:val="single" w:sz="12" w:space="0" w:color="auto"/>
            </w:tcBorders>
            <w:vAlign w:val="center"/>
          </w:tcPr>
          <w:p w14:paraId="681C9F72"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144,792</w:t>
            </w:r>
          </w:p>
        </w:tc>
        <w:tc>
          <w:tcPr>
            <w:tcW w:w="1842" w:type="dxa"/>
            <w:tcBorders>
              <w:top w:val="single" w:sz="12" w:space="0" w:color="auto"/>
            </w:tcBorders>
            <w:vAlign w:val="center"/>
          </w:tcPr>
          <w:p w14:paraId="2D1DC97B"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97,777</w:t>
            </w:r>
          </w:p>
        </w:tc>
      </w:tr>
      <w:tr w:rsidR="005A39D1" w:rsidRPr="004539D1" w14:paraId="2FD02937" w14:textId="77777777" w:rsidTr="00AC1A8B">
        <w:trPr>
          <w:jc w:val="center"/>
        </w:trPr>
        <w:tc>
          <w:tcPr>
            <w:tcW w:w="3119" w:type="dxa"/>
          </w:tcPr>
          <w:p w14:paraId="7B82B903"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SSB</w:t>
            </w:r>
            <w:r w:rsidRPr="004539D1">
              <w:rPr>
                <w:rFonts w:cstheme="minorHAnsi"/>
                <w:vertAlign w:val="subscript"/>
                <w:lang w:val="en-GB"/>
              </w:rPr>
              <w:t>MSY</w:t>
            </w:r>
            <w:r w:rsidRPr="004539D1">
              <w:rPr>
                <w:rFonts w:cstheme="minorHAnsi"/>
                <w:lang w:val="en-GB"/>
              </w:rPr>
              <w:t xml:space="preserve"> (t)</w:t>
            </w:r>
            <w:r w:rsidRPr="004539D1">
              <w:rPr>
                <w:rFonts w:cstheme="minorHAnsi"/>
                <w:vertAlign w:val="subscript"/>
                <w:lang w:val="en-GB"/>
              </w:rPr>
              <w:t xml:space="preserve"> </w:t>
            </w:r>
          </w:p>
        </w:tc>
        <w:tc>
          <w:tcPr>
            <w:tcW w:w="1134" w:type="dxa"/>
            <w:vAlign w:val="center"/>
          </w:tcPr>
          <w:p w14:paraId="61009DCD"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23,154</w:t>
            </w:r>
          </w:p>
        </w:tc>
        <w:tc>
          <w:tcPr>
            <w:tcW w:w="1276" w:type="dxa"/>
            <w:vAlign w:val="center"/>
          </w:tcPr>
          <w:p w14:paraId="6FB2A919"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18,133</w:t>
            </w:r>
          </w:p>
        </w:tc>
        <w:tc>
          <w:tcPr>
            <w:tcW w:w="1701" w:type="dxa"/>
            <w:vAlign w:val="center"/>
          </w:tcPr>
          <w:p w14:paraId="340E05F0"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30,435</w:t>
            </w:r>
          </w:p>
        </w:tc>
        <w:tc>
          <w:tcPr>
            <w:tcW w:w="1842" w:type="dxa"/>
            <w:vAlign w:val="center"/>
          </w:tcPr>
          <w:p w14:paraId="1906AAB9"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18,756</w:t>
            </w:r>
          </w:p>
        </w:tc>
      </w:tr>
      <w:tr w:rsidR="005A39D1" w:rsidRPr="004539D1" w14:paraId="1915FC10" w14:textId="77777777" w:rsidTr="00AC1A8B">
        <w:trPr>
          <w:jc w:val="center"/>
        </w:trPr>
        <w:tc>
          <w:tcPr>
            <w:tcW w:w="3119" w:type="dxa"/>
          </w:tcPr>
          <w:p w14:paraId="5FC9EAAF" w14:textId="77777777" w:rsidR="005A39D1" w:rsidRPr="004539D1" w:rsidRDefault="005A39D1" w:rsidP="00AC1A8B">
            <w:pPr>
              <w:widowControl w:val="0"/>
              <w:adjustRightInd w:val="0"/>
              <w:snapToGrid w:val="0"/>
              <w:rPr>
                <w:rFonts w:cstheme="minorHAnsi"/>
                <w:vertAlign w:val="subscript"/>
                <w:lang w:val="en-GB"/>
              </w:rPr>
            </w:pPr>
            <w:r w:rsidRPr="004539D1">
              <w:rPr>
                <w:rFonts w:cstheme="minorHAnsi"/>
                <w:lang w:val="en-GB"/>
              </w:rPr>
              <w:t>SSB</w:t>
            </w:r>
            <w:r w:rsidRPr="004539D1">
              <w:rPr>
                <w:rFonts w:cstheme="minorHAnsi"/>
                <w:vertAlign w:val="subscript"/>
                <w:lang w:val="en-GB"/>
              </w:rPr>
              <w:t>0</w:t>
            </w:r>
            <w:r w:rsidRPr="004539D1">
              <w:rPr>
                <w:rFonts w:cstheme="minorHAnsi"/>
                <w:lang w:val="en-GB"/>
              </w:rPr>
              <w:t xml:space="preserve"> (t)</w:t>
            </w:r>
            <w:r w:rsidRPr="004539D1">
              <w:rPr>
                <w:rFonts w:cstheme="minorHAnsi"/>
                <w:vertAlign w:val="subscript"/>
                <w:lang w:val="en-GB"/>
              </w:rPr>
              <w:t xml:space="preserve"> </w:t>
            </w:r>
          </w:p>
        </w:tc>
        <w:tc>
          <w:tcPr>
            <w:tcW w:w="1134" w:type="dxa"/>
            <w:vAlign w:val="center"/>
          </w:tcPr>
          <w:p w14:paraId="603D3542"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165,567</w:t>
            </w:r>
          </w:p>
        </w:tc>
        <w:tc>
          <w:tcPr>
            <w:tcW w:w="1276" w:type="dxa"/>
            <w:vAlign w:val="center"/>
          </w:tcPr>
          <w:p w14:paraId="2730FE38"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128,155</w:t>
            </w:r>
          </w:p>
        </w:tc>
        <w:tc>
          <w:tcPr>
            <w:tcW w:w="1701" w:type="dxa"/>
            <w:vAlign w:val="center"/>
          </w:tcPr>
          <w:p w14:paraId="1D956AA2"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198,913</w:t>
            </w:r>
          </w:p>
        </w:tc>
        <w:tc>
          <w:tcPr>
            <w:tcW w:w="1842" w:type="dxa"/>
            <w:vAlign w:val="center"/>
          </w:tcPr>
          <w:p w14:paraId="08289CDA"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lang w:val="en-GB"/>
              </w:rPr>
              <w:t>132,570</w:t>
            </w:r>
          </w:p>
        </w:tc>
      </w:tr>
      <w:tr w:rsidR="005A39D1" w:rsidRPr="004539D1" w14:paraId="68CC1554" w14:textId="77777777" w:rsidTr="00AC1A8B">
        <w:trPr>
          <w:jc w:val="center"/>
        </w:trPr>
        <w:tc>
          <w:tcPr>
            <w:tcW w:w="3119" w:type="dxa"/>
          </w:tcPr>
          <w:p w14:paraId="7B73B35F" w14:textId="77777777" w:rsidR="005A39D1" w:rsidRPr="004539D1" w:rsidRDefault="005A39D1" w:rsidP="00AC1A8B">
            <w:pPr>
              <w:widowControl w:val="0"/>
              <w:adjustRightInd w:val="0"/>
              <w:snapToGrid w:val="0"/>
              <w:rPr>
                <w:rFonts w:cstheme="minorHAnsi"/>
                <w:lang w:val="en-GB"/>
              </w:rPr>
            </w:pPr>
            <w:proofErr w:type="spellStart"/>
            <w:r w:rsidRPr="004539D1">
              <w:rPr>
                <w:rFonts w:cstheme="minorHAnsi"/>
                <w:lang w:val="en-GB"/>
              </w:rPr>
              <w:t>SSB</w:t>
            </w:r>
            <w:r w:rsidRPr="004539D1">
              <w:rPr>
                <w:rFonts w:cstheme="minorHAnsi"/>
                <w:vertAlign w:val="subscript"/>
                <w:lang w:val="en-GB"/>
              </w:rPr>
              <w:t>current</w:t>
            </w:r>
            <w:proofErr w:type="spellEnd"/>
            <w:r w:rsidRPr="004539D1">
              <w:rPr>
                <w:rFonts w:cstheme="minorHAnsi"/>
                <w:vertAlign w:val="subscript"/>
                <w:lang w:val="en-GB"/>
              </w:rPr>
              <w:t>, F=0</w:t>
            </w:r>
            <w:r w:rsidRPr="004539D1">
              <w:rPr>
                <w:rFonts w:cstheme="minorHAnsi"/>
                <w:lang w:val="en-GB"/>
              </w:rPr>
              <w:t xml:space="preserve"> (2021 estimate)</w:t>
            </w:r>
          </w:p>
        </w:tc>
        <w:tc>
          <w:tcPr>
            <w:tcW w:w="1134" w:type="dxa"/>
            <w:vAlign w:val="center"/>
          </w:tcPr>
          <w:p w14:paraId="20B5413E"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129,581</w:t>
            </w:r>
          </w:p>
        </w:tc>
        <w:tc>
          <w:tcPr>
            <w:tcW w:w="1276" w:type="dxa"/>
            <w:vAlign w:val="center"/>
          </w:tcPr>
          <w:p w14:paraId="6494B991"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97,368</w:t>
            </w:r>
          </w:p>
        </w:tc>
        <w:tc>
          <w:tcPr>
            <w:tcW w:w="1701" w:type="dxa"/>
            <w:vAlign w:val="center"/>
          </w:tcPr>
          <w:p w14:paraId="389FEBE8"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155,542</w:t>
            </w:r>
          </w:p>
        </w:tc>
        <w:tc>
          <w:tcPr>
            <w:tcW w:w="1842" w:type="dxa"/>
            <w:vAlign w:val="center"/>
          </w:tcPr>
          <w:p w14:paraId="6A2A0343"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93,808</w:t>
            </w:r>
          </w:p>
        </w:tc>
      </w:tr>
      <w:tr w:rsidR="005A39D1" w:rsidRPr="004539D1" w14:paraId="1CA245CB" w14:textId="77777777" w:rsidTr="00AC1A8B">
        <w:trPr>
          <w:jc w:val="center"/>
        </w:trPr>
        <w:tc>
          <w:tcPr>
            <w:tcW w:w="3119" w:type="dxa"/>
          </w:tcPr>
          <w:p w14:paraId="785B183F"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SSB</w:t>
            </w:r>
            <w:r w:rsidRPr="004539D1">
              <w:rPr>
                <w:rFonts w:cstheme="minorHAnsi"/>
                <w:vertAlign w:val="subscript"/>
                <w:lang w:val="en-GB"/>
              </w:rPr>
              <w:t>2021</w:t>
            </w:r>
            <w:r w:rsidRPr="004539D1">
              <w:rPr>
                <w:rFonts w:cstheme="minorHAnsi"/>
                <w:lang w:val="en-GB"/>
              </w:rPr>
              <w:t>/</w:t>
            </w:r>
            <w:proofErr w:type="spellStart"/>
            <w:r w:rsidRPr="004539D1">
              <w:rPr>
                <w:rFonts w:cstheme="minorHAnsi"/>
                <w:lang w:val="en-GB"/>
              </w:rPr>
              <w:t>SSB</w:t>
            </w:r>
            <w:r w:rsidRPr="004539D1">
              <w:rPr>
                <w:rFonts w:cstheme="minorHAnsi"/>
                <w:vertAlign w:val="subscript"/>
                <w:lang w:val="en-GB"/>
              </w:rPr>
              <w:t>current</w:t>
            </w:r>
            <w:proofErr w:type="spellEnd"/>
            <w:r w:rsidRPr="004539D1">
              <w:rPr>
                <w:rFonts w:cstheme="minorHAnsi"/>
                <w:vertAlign w:val="subscript"/>
                <w:lang w:val="en-GB"/>
              </w:rPr>
              <w:t>, F=0</w:t>
            </w:r>
          </w:p>
        </w:tc>
        <w:tc>
          <w:tcPr>
            <w:tcW w:w="1134" w:type="dxa"/>
            <w:vAlign w:val="center"/>
          </w:tcPr>
          <w:p w14:paraId="59BE15D5"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0.54</w:t>
            </w:r>
          </w:p>
        </w:tc>
        <w:tc>
          <w:tcPr>
            <w:tcW w:w="1276" w:type="dxa"/>
            <w:vAlign w:val="center"/>
          </w:tcPr>
          <w:p w14:paraId="6C586A69"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0.36</w:t>
            </w:r>
          </w:p>
        </w:tc>
        <w:tc>
          <w:tcPr>
            <w:tcW w:w="1701" w:type="dxa"/>
            <w:vAlign w:val="center"/>
          </w:tcPr>
          <w:p w14:paraId="16F73CC7"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0.65</w:t>
            </w:r>
          </w:p>
        </w:tc>
        <w:tc>
          <w:tcPr>
            <w:tcW w:w="1842" w:type="dxa"/>
            <w:vAlign w:val="center"/>
          </w:tcPr>
          <w:p w14:paraId="25E350DF"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0.39</w:t>
            </w:r>
          </w:p>
        </w:tc>
      </w:tr>
      <w:tr w:rsidR="005A39D1" w:rsidRPr="004539D1" w14:paraId="0695927E" w14:textId="77777777" w:rsidTr="00AC1A8B">
        <w:trPr>
          <w:jc w:val="center"/>
        </w:trPr>
        <w:tc>
          <w:tcPr>
            <w:tcW w:w="3119" w:type="dxa"/>
          </w:tcPr>
          <w:p w14:paraId="185C3ADD"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SSB</w:t>
            </w:r>
            <w:r w:rsidRPr="004539D1">
              <w:rPr>
                <w:rFonts w:cstheme="minorHAnsi"/>
                <w:vertAlign w:val="subscript"/>
                <w:lang w:val="en-GB"/>
              </w:rPr>
              <w:t>2021</w:t>
            </w:r>
            <w:r w:rsidRPr="004539D1">
              <w:rPr>
                <w:rFonts w:cstheme="minorHAnsi"/>
                <w:lang w:val="en-GB"/>
              </w:rPr>
              <w:t>/30%SSB</w:t>
            </w:r>
            <w:r w:rsidRPr="004539D1">
              <w:rPr>
                <w:rFonts w:cstheme="minorHAnsi"/>
                <w:vertAlign w:val="subscript"/>
                <w:lang w:val="en-GB"/>
              </w:rPr>
              <w:t>current, F=0</w:t>
            </w:r>
          </w:p>
        </w:tc>
        <w:tc>
          <w:tcPr>
            <w:tcW w:w="1134" w:type="dxa"/>
            <w:vAlign w:val="center"/>
          </w:tcPr>
          <w:p w14:paraId="254AFA04"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1.81</w:t>
            </w:r>
          </w:p>
        </w:tc>
        <w:tc>
          <w:tcPr>
            <w:tcW w:w="1276" w:type="dxa"/>
            <w:vAlign w:val="center"/>
          </w:tcPr>
          <w:p w14:paraId="48663B1A"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1.21</w:t>
            </w:r>
          </w:p>
        </w:tc>
        <w:tc>
          <w:tcPr>
            <w:tcW w:w="1701" w:type="dxa"/>
            <w:vAlign w:val="center"/>
          </w:tcPr>
          <w:p w14:paraId="14F63182"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2.17</w:t>
            </w:r>
          </w:p>
        </w:tc>
        <w:tc>
          <w:tcPr>
            <w:tcW w:w="1842" w:type="dxa"/>
            <w:vAlign w:val="center"/>
          </w:tcPr>
          <w:p w14:paraId="43D612A1"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1.31</w:t>
            </w:r>
          </w:p>
        </w:tc>
      </w:tr>
      <w:tr w:rsidR="005A39D1" w:rsidRPr="004539D1" w14:paraId="59E711A4" w14:textId="77777777" w:rsidTr="00AC1A8B">
        <w:trPr>
          <w:jc w:val="center"/>
        </w:trPr>
        <w:tc>
          <w:tcPr>
            <w:tcW w:w="3119" w:type="dxa"/>
          </w:tcPr>
          <w:p w14:paraId="3321A3BF"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SSB</w:t>
            </w:r>
            <w:r w:rsidRPr="004539D1">
              <w:rPr>
                <w:rFonts w:cstheme="minorHAnsi"/>
                <w:vertAlign w:val="subscript"/>
                <w:lang w:val="en-GB"/>
              </w:rPr>
              <w:t>2021</w:t>
            </w:r>
            <w:r w:rsidRPr="004539D1">
              <w:rPr>
                <w:rFonts w:cstheme="minorHAnsi"/>
                <w:lang w:val="en-GB"/>
              </w:rPr>
              <w:t>/14%SSB</w:t>
            </w:r>
            <w:r w:rsidRPr="004539D1">
              <w:rPr>
                <w:rFonts w:cstheme="minorHAnsi"/>
                <w:vertAlign w:val="subscript"/>
                <w:lang w:val="en-GB"/>
              </w:rPr>
              <w:t>current, F=0</w:t>
            </w:r>
          </w:p>
        </w:tc>
        <w:tc>
          <w:tcPr>
            <w:tcW w:w="1134" w:type="dxa"/>
            <w:vAlign w:val="center"/>
          </w:tcPr>
          <w:p w14:paraId="2C93A42A"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3.87</w:t>
            </w:r>
          </w:p>
        </w:tc>
        <w:tc>
          <w:tcPr>
            <w:tcW w:w="1276" w:type="dxa"/>
            <w:vAlign w:val="center"/>
          </w:tcPr>
          <w:p w14:paraId="370DA791"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2.6</w:t>
            </w:r>
          </w:p>
        </w:tc>
        <w:tc>
          <w:tcPr>
            <w:tcW w:w="1701" w:type="dxa"/>
            <w:vAlign w:val="center"/>
          </w:tcPr>
          <w:p w14:paraId="21E22405"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4.65</w:t>
            </w:r>
          </w:p>
        </w:tc>
        <w:tc>
          <w:tcPr>
            <w:tcW w:w="1842" w:type="dxa"/>
            <w:vAlign w:val="center"/>
          </w:tcPr>
          <w:p w14:paraId="7B8C8C16"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2.81</w:t>
            </w:r>
          </w:p>
        </w:tc>
      </w:tr>
      <w:tr w:rsidR="005A39D1" w:rsidRPr="004539D1" w14:paraId="576F2C73" w14:textId="77777777" w:rsidTr="00AC1A8B">
        <w:trPr>
          <w:jc w:val="center"/>
        </w:trPr>
        <w:tc>
          <w:tcPr>
            <w:tcW w:w="3119" w:type="dxa"/>
          </w:tcPr>
          <w:p w14:paraId="109C9EEB"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†Depletion</w:t>
            </w:r>
            <w:r w:rsidRPr="004539D1">
              <w:rPr>
                <w:rFonts w:cstheme="minorHAnsi"/>
                <w:vertAlign w:val="subscript"/>
                <w:lang w:val="en-GB"/>
              </w:rPr>
              <w:t>2021</w:t>
            </w:r>
            <w:r w:rsidRPr="004539D1">
              <w:rPr>
                <w:rFonts w:cstheme="minorHAnsi"/>
                <w:lang w:val="en-GB"/>
              </w:rPr>
              <w:t>/Depletion</w:t>
            </w:r>
            <w:r w:rsidRPr="004539D1">
              <w:rPr>
                <w:rFonts w:cstheme="minorHAnsi"/>
                <w:vertAlign w:val="subscript"/>
                <w:lang w:val="en-GB"/>
              </w:rPr>
              <w:t>2006-2015</w:t>
            </w:r>
          </w:p>
        </w:tc>
        <w:tc>
          <w:tcPr>
            <w:tcW w:w="1134" w:type="dxa"/>
            <w:vAlign w:val="center"/>
          </w:tcPr>
          <w:p w14:paraId="638944C8"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1.34</w:t>
            </w:r>
          </w:p>
        </w:tc>
        <w:tc>
          <w:tcPr>
            <w:tcW w:w="1276" w:type="dxa"/>
            <w:vAlign w:val="center"/>
          </w:tcPr>
          <w:p w14:paraId="24209B54"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1.33</w:t>
            </w:r>
          </w:p>
        </w:tc>
        <w:tc>
          <w:tcPr>
            <w:tcW w:w="1701" w:type="dxa"/>
            <w:vAlign w:val="center"/>
          </w:tcPr>
          <w:p w14:paraId="11F3A3DC"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1.37</w:t>
            </w:r>
          </w:p>
        </w:tc>
        <w:tc>
          <w:tcPr>
            <w:tcW w:w="1842" w:type="dxa"/>
            <w:vAlign w:val="center"/>
          </w:tcPr>
          <w:p w14:paraId="4AE1E731"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1.3</w:t>
            </w:r>
          </w:p>
        </w:tc>
      </w:tr>
      <w:tr w:rsidR="005A39D1" w:rsidRPr="004539D1" w14:paraId="6E86DEE4" w14:textId="77777777" w:rsidTr="00AC1A8B">
        <w:trPr>
          <w:jc w:val="center"/>
        </w:trPr>
        <w:tc>
          <w:tcPr>
            <w:tcW w:w="3119" w:type="dxa"/>
          </w:tcPr>
          <w:p w14:paraId="5F0915F6"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 F</w:t>
            </w:r>
            <w:r w:rsidRPr="004539D1">
              <w:rPr>
                <w:rFonts w:cstheme="minorHAnsi"/>
                <w:vertAlign w:val="subscript"/>
                <w:lang w:val="en-GB"/>
              </w:rPr>
              <w:t xml:space="preserve">%SPR, 2018-2020 </w:t>
            </w:r>
            <w:r w:rsidRPr="004539D1">
              <w:rPr>
                <w:rFonts w:cstheme="minorHAnsi"/>
                <w:lang w:val="en-GB"/>
              </w:rPr>
              <w:t>(%SPR)</w:t>
            </w:r>
          </w:p>
        </w:tc>
        <w:tc>
          <w:tcPr>
            <w:tcW w:w="1134" w:type="dxa"/>
            <w:vAlign w:val="center"/>
          </w:tcPr>
          <w:p w14:paraId="7A9C6491"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59.0</w:t>
            </w:r>
          </w:p>
        </w:tc>
        <w:tc>
          <w:tcPr>
            <w:tcW w:w="1276" w:type="dxa"/>
            <w:vAlign w:val="center"/>
          </w:tcPr>
          <w:p w14:paraId="5CCB0596"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41.4</w:t>
            </w:r>
          </w:p>
        </w:tc>
        <w:tc>
          <w:tcPr>
            <w:tcW w:w="1701" w:type="dxa"/>
            <w:vAlign w:val="center"/>
          </w:tcPr>
          <w:p w14:paraId="73A22F85"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70.4</w:t>
            </w:r>
          </w:p>
        </w:tc>
        <w:tc>
          <w:tcPr>
            <w:tcW w:w="1842" w:type="dxa"/>
            <w:vAlign w:val="center"/>
          </w:tcPr>
          <w:p w14:paraId="3005EDF7"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43.2</w:t>
            </w:r>
          </w:p>
        </w:tc>
      </w:tr>
      <w:tr w:rsidR="005A39D1" w:rsidRPr="004539D1" w14:paraId="0D65EE17" w14:textId="77777777" w:rsidTr="00AC1A8B">
        <w:trPr>
          <w:jc w:val="center"/>
        </w:trPr>
        <w:tc>
          <w:tcPr>
            <w:tcW w:w="3119" w:type="dxa"/>
          </w:tcPr>
          <w:p w14:paraId="4721B994"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 F</w:t>
            </w:r>
            <w:r w:rsidRPr="004539D1">
              <w:rPr>
                <w:rFonts w:cstheme="minorHAnsi"/>
                <w:vertAlign w:val="subscript"/>
                <w:lang w:val="en-GB"/>
              </w:rPr>
              <w:t>%SPR, 2011-2020</w:t>
            </w:r>
            <w:r w:rsidRPr="004539D1">
              <w:rPr>
                <w:rFonts w:cstheme="minorHAnsi"/>
                <w:lang w:val="en-GB"/>
              </w:rPr>
              <w:t xml:space="preserve"> (%SPR)</w:t>
            </w:r>
          </w:p>
        </w:tc>
        <w:tc>
          <w:tcPr>
            <w:tcW w:w="1134" w:type="dxa"/>
            <w:vAlign w:val="center"/>
          </w:tcPr>
          <w:p w14:paraId="73D93A34" w14:textId="77777777" w:rsidR="005A39D1" w:rsidRPr="004539D1" w:rsidRDefault="005A39D1" w:rsidP="00AC1A8B">
            <w:pPr>
              <w:widowControl w:val="0"/>
              <w:adjustRightInd w:val="0"/>
              <w:snapToGrid w:val="0"/>
              <w:jc w:val="right"/>
              <w:rPr>
                <w:rFonts w:cstheme="minorHAnsi"/>
                <w:kern w:val="2"/>
                <w:lang w:val="en-GB" w:eastAsia="ja-JP"/>
              </w:rPr>
            </w:pPr>
            <w:r w:rsidRPr="004539D1">
              <w:rPr>
                <w:rFonts w:eastAsia="Yu Gothic" w:cstheme="minorHAnsi"/>
                <w:color w:val="000000"/>
                <w:lang w:val="en-GB"/>
              </w:rPr>
              <w:t>55.0</w:t>
            </w:r>
          </w:p>
        </w:tc>
        <w:tc>
          <w:tcPr>
            <w:tcW w:w="1276" w:type="dxa"/>
            <w:vAlign w:val="center"/>
          </w:tcPr>
          <w:p w14:paraId="6F9ADC1E"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36.6</w:t>
            </w:r>
          </w:p>
        </w:tc>
        <w:tc>
          <w:tcPr>
            <w:tcW w:w="1701" w:type="dxa"/>
            <w:vAlign w:val="center"/>
          </w:tcPr>
          <w:p w14:paraId="22FB5539"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63.8</w:t>
            </w:r>
          </w:p>
        </w:tc>
        <w:tc>
          <w:tcPr>
            <w:tcW w:w="1842" w:type="dxa"/>
            <w:vAlign w:val="center"/>
          </w:tcPr>
          <w:p w14:paraId="1F013BF5"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37.9</w:t>
            </w:r>
          </w:p>
        </w:tc>
      </w:tr>
      <w:tr w:rsidR="005A39D1" w:rsidRPr="004539D1" w14:paraId="73AA9FBB" w14:textId="77777777" w:rsidTr="00AC1A8B">
        <w:trPr>
          <w:jc w:val="center"/>
        </w:trPr>
        <w:tc>
          <w:tcPr>
            <w:tcW w:w="3119" w:type="dxa"/>
          </w:tcPr>
          <w:p w14:paraId="1A6B91CB"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 F</w:t>
            </w:r>
            <w:r w:rsidRPr="004539D1">
              <w:rPr>
                <w:rFonts w:cstheme="minorHAnsi"/>
                <w:vertAlign w:val="subscript"/>
                <w:lang w:val="en-GB"/>
              </w:rPr>
              <w:t>%SPR, 2018-2020</w:t>
            </w:r>
            <w:r w:rsidRPr="004539D1">
              <w:rPr>
                <w:rFonts w:cstheme="minorHAnsi"/>
                <w:lang w:val="en-GB"/>
              </w:rPr>
              <w:t>/F</w:t>
            </w:r>
            <w:r w:rsidRPr="004539D1">
              <w:rPr>
                <w:rFonts w:cstheme="minorHAnsi"/>
                <w:vertAlign w:val="subscript"/>
                <w:lang w:val="en-GB"/>
              </w:rPr>
              <w:t>%SPR, MSY</w:t>
            </w:r>
          </w:p>
        </w:tc>
        <w:tc>
          <w:tcPr>
            <w:tcW w:w="1134" w:type="dxa"/>
            <w:vAlign w:val="center"/>
          </w:tcPr>
          <w:p w14:paraId="2BC4DD62" w14:textId="77777777" w:rsidR="005A39D1" w:rsidRPr="004539D1" w:rsidRDefault="005A39D1" w:rsidP="00AC1A8B">
            <w:pPr>
              <w:widowControl w:val="0"/>
              <w:adjustRightInd w:val="0"/>
              <w:snapToGrid w:val="0"/>
              <w:jc w:val="right"/>
              <w:rPr>
                <w:rFonts w:cstheme="minorHAnsi"/>
                <w:kern w:val="2"/>
                <w:lang w:val="en-GB" w:eastAsia="ja-JP"/>
              </w:rPr>
            </w:pPr>
            <w:r w:rsidRPr="004539D1">
              <w:rPr>
                <w:rFonts w:eastAsia="Yu Gothic" w:cstheme="minorHAnsi"/>
                <w:color w:val="000000"/>
                <w:lang w:val="en-GB"/>
              </w:rPr>
              <w:t>2.04</w:t>
            </w:r>
          </w:p>
        </w:tc>
        <w:tc>
          <w:tcPr>
            <w:tcW w:w="1276" w:type="dxa"/>
            <w:vAlign w:val="center"/>
          </w:tcPr>
          <w:p w14:paraId="3A6DBAC4"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1.42</w:t>
            </w:r>
          </w:p>
        </w:tc>
        <w:tc>
          <w:tcPr>
            <w:tcW w:w="1701" w:type="dxa"/>
            <w:vAlign w:val="center"/>
          </w:tcPr>
          <w:p w14:paraId="1EA2B398"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2.78</w:t>
            </w:r>
          </w:p>
        </w:tc>
        <w:tc>
          <w:tcPr>
            <w:tcW w:w="1842" w:type="dxa"/>
            <w:vAlign w:val="center"/>
          </w:tcPr>
          <w:p w14:paraId="62D07F25"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1.47</w:t>
            </w:r>
          </w:p>
        </w:tc>
      </w:tr>
      <w:tr w:rsidR="005A39D1" w:rsidRPr="004539D1" w14:paraId="282F5916" w14:textId="77777777" w:rsidTr="00AC1A8B">
        <w:trPr>
          <w:jc w:val="center"/>
        </w:trPr>
        <w:tc>
          <w:tcPr>
            <w:tcW w:w="3119" w:type="dxa"/>
          </w:tcPr>
          <w:p w14:paraId="73BEBB59"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 F</w:t>
            </w:r>
            <w:r w:rsidRPr="004539D1">
              <w:rPr>
                <w:rFonts w:cstheme="minorHAnsi"/>
                <w:vertAlign w:val="subscript"/>
                <w:lang w:val="en-GB"/>
              </w:rPr>
              <w:t>%SPR, 2011-2020</w:t>
            </w:r>
            <w:r w:rsidRPr="004539D1">
              <w:rPr>
                <w:rFonts w:cstheme="minorHAnsi"/>
                <w:lang w:val="en-GB"/>
              </w:rPr>
              <w:t>/F45</w:t>
            </w:r>
            <w:r w:rsidRPr="004539D1">
              <w:rPr>
                <w:rFonts w:cstheme="minorHAnsi"/>
                <w:vertAlign w:val="subscript"/>
                <w:lang w:val="en-GB"/>
              </w:rPr>
              <w:t>%SPR</w:t>
            </w:r>
          </w:p>
        </w:tc>
        <w:tc>
          <w:tcPr>
            <w:tcW w:w="1134" w:type="dxa"/>
            <w:vAlign w:val="center"/>
          </w:tcPr>
          <w:p w14:paraId="77262D41" w14:textId="77777777" w:rsidR="005A39D1" w:rsidRPr="004539D1" w:rsidRDefault="005A39D1" w:rsidP="00AC1A8B">
            <w:pPr>
              <w:widowControl w:val="0"/>
              <w:adjustRightInd w:val="0"/>
              <w:snapToGrid w:val="0"/>
              <w:jc w:val="right"/>
              <w:rPr>
                <w:rFonts w:cstheme="minorHAnsi"/>
                <w:kern w:val="2"/>
                <w:lang w:val="en-GB" w:eastAsia="ja-JP"/>
              </w:rPr>
            </w:pPr>
            <w:r w:rsidRPr="004539D1">
              <w:rPr>
                <w:rFonts w:eastAsia="Yu Gothic" w:cstheme="minorHAnsi"/>
                <w:color w:val="000000"/>
                <w:lang w:val="en-GB"/>
              </w:rPr>
              <w:t>1.22</w:t>
            </w:r>
          </w:p>
        </w:tc>
        <w:tc>
          <w:tcPr>
            <w:tcW w:w="1276" w:type="dxa"/>
            <w:vAlign w:val="center"/>
          </w:tcPr>
          <w:p w14:paraId="0EA3146C"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0.81</w:t>
            </w:r>
          </w:p>
        </w:tc>
        <w:tc>
          <w:tcPr>
            <w:tcW w:w="1701" w:type="dxa"/>
            <w:vAlign w:val="center"/>
          </w:tcPr>
          <w:p w14:paraId="215325D0"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1.42</w:t>
            </w:r>
          </w:p>
        </w:tc>
        <w:tc>
          <w:tcPr>
            <w:tcW w:w="1842" w:type="dxa"/>
            <w:vAlign w:val="center"/>
          </w:tcPr>
          <w:p w14:paraId="0DDE6758"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0.84</w:t>
            </w:r>
          </w:p>
        </w:tc>
      </w:tr>
      <w:tr w:rsidR="005A39D1" w:rsidRPr="004539D1" w14:paraId="66EAE74F" w14:textId="77777777" w:rsidTr="00AC1A8B">
        <w:trPr>
          <w:jc w:val="center"/>
        </w:trPr>
        <w:tc>
          <w:tcPr>
            <w:tcW w:w="3119" w:type="dxa"/>
          </w:tcPr>
          <w:p w14:paraId="3B796AB9"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 F</w:t>
            </w:r>
            <w:r w:rsidRPr="004539D1">
              <w:rPr>
                <w:rFonts w:cstheme="minorHAnsi"/>
                <w:vertAlign w:val="subscript"/>
                <w:lang w:val="en-GB"/>
              </w:rPr>
              <w:t>%SPR, 2018-2020</w:t>
            </w:r>
            <w:r w:rsidRPr="004539D1">
              <w:rPr>
                <w:rFonts w:cstheme="minorHAnsi"/>
                <w:lang w:val="en-GB"/>
              </w:rPr>
              <w:t>/F45</w:t>
            </w:r>
            <w:r w:rsidRPr="004539D1">
              <w:rPr>
                <w:rFonts w:cstheme="minorHAnsi"/>
                <w:vertAlign w:val="subscript"/>
                <w:lang w:val="en-GB"/>
              </w:rPr>
              <w:t>%SPR</w:t>
            </w:r>
          </w:p>
        </w:tc>
        <w:tc>
          <w:tcPr>
            <w:tcW w:w="1134" w:type="dxa"/>
            <w:vAlign w:val="center"/>
          </w:tcPr>
          <w:p w14:paraId="3C000ADB" w14:textId="77777777" w:rsidR="005A39D1" w:rsidRPr="004539D1" w:rsidRDefault="005A39D1" w:rsidP="00AC1A8B">
            <w:pPr>
              <w:widowControl w:val="0"/>
              <w:adjustRightInd w:val="0"/>
              <w:snapToGrid w:val="0"/>
              <w:jc w:val="right"/>
              <w:rPr>
                <w:rFonts w:cstheme="minorHAnsi"/>
                <w:kern w:val="2"/>
                <w:lang w:val="en-GB" w:eastAsia="ja-JP"/>
              </w:rPr>
            </w:pPr>
            <w:r w:rsidRPr="004539D1">
              <w:rPr>
                <w:rFonts w:eastAsia="Yu Gothic" w:cstheme="minorHAnsi"/>
                <w:color w:val="000000"/>
                <w:lang w:val="en-GB"/>
              </w:rPr>
              <w:t>1.31</w:t>
            </w:r>
          </w:p>
        </w:tc>
        <w:tc>
          <w:tcPr>
            <w:tcW w:w="1276" w:type="dxa"/>
            <w:vAlign w:val="center"/>
          </w:tcPr>
          <w:p w14:paraId="68AD509E"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0.92</w:t>
            </w:r>
          </w:p>
        </w:tc>
        <w:tc>
          <w:tcPr>
            <w:tcW w:w="1701" w:type="dxa"/>
            <w:vAlign w:val="center"/>
          </w:tcPr>
          <w:p w14:paraId="5BFAAE2A"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1.56</w:t>
            </w:r>
          </w:p>
        </w:tc>
        <w:tc>
          <w:tcPr>
            <w:tcW w:w="1842" w:type="dxa"/>
            <w:vAlign w:val="center"/>
          </w:tcPr>
          <w:p w14:paraId="3AF86942"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0.96</w:t>
            </w:r>
          </w:p>
        </w:tc>
      </w:tr>
      <w:tr w:rsidR="005A39D1" w:rsidRPr="004539D1" w14:paraId="4C7F07EC" w14:textId="77777777" w:rsidTr="00AC1A8B">
        <w:trPr>
          <w:jc w:val="center"/>
        </w:trPr>
        <w:tc>
          <w:tcPr>
            <w:tcW w:w="3119" w:type="dxa"/>
            <w:tcBorders>
              <w:bottom w:val="single" w:sz="12" w:space="0" w:color="auto"/>
            </w:tcBorders>
          </w:tcPr>
          <w:p w14:paraId="5CB8B5D6" w14:textId="77777777" w:rsidR="005A39D1" w:rsidRPr="004539D1" w:rsidRDefault="005A39D1" w:rsidP="00AC1A8B">
            <w:pPr>
              <w:widowControl w:val="0"/>
              <w:adjustRightInd w:val="0"/>
              <w:snapToGrid w:val="0"/>
              <w:rPr>
                <w:rFonts w:cstheme="minorHAnsi"/>
                <w:lang w:val="en-GB"/>
              </w:rPr>
            </w:pPr>
            <w:r w:rsidRPr="004539D1">
              <w:rPr>
                <w:rFonts w:cstheme="minorHAnsi"/>
                <w:lang w:val="en-GB"/>
              </w:rPr>
              <w:t>¶ F</w:t>
            </w:r>
            <w:r w:rsidRPr="004539D1">
              <w:rPr>
                <w:rFonts w:cstheme="minorHAnsi"/>
                <w:vertAlign w:val="subscript"/>
                <w:lang w:val="en-GB"/>
              </w:rPr>
              <w:t>%SPR, 2018-2020</w:t>
            </w:r>
            <w:r w:rsidRPr="004539D1">
              <w:rPr>
                <w:rFonts w:cstheme="minorHAnsi"/>
                <w:lang w:val="en-GB"/>
              </w:rPr>
              <w:t>/F</w:t>
            </w:r>
            <w:r w:rsidRPr="004539D1">
              <w:rPr>
                <w:rFonts w:cstheme="minorHAnsi"/>
                <w:vertAlign w:val="subscript"/>
                <w:lang w:val="en-GB"/>
              </w:rPr>
              <w:t>%SPR, 2002-2004</w:t>
            </w:r>
          </w:p>
        </w:tc>
        <w:tc>
          <w:tcPr>
            <w:tcW w:w="1134" w:type="dxa"/>
            <w:tcBorders>
              <w:bottom w:val="single" w:sz="12" w:space="0" w:color="auto"/>
            </w:tcBorders>
            <w:vAlign w:val="center"/>
          </w:tcPr>
          <w:p w14:paraId="3524C16A" w14:textId="77777777" w:rsidR="005A39D1" w:rsidRPr="004539D1" w:rsidRDefault="005A39D1" w:rsidP="00AC1A8B">
            <w:pPr>
              <w:widowControl w:val="0"/>
              <w:adjustRightInd w:val="0"/>
              <w:snapToGrid w:val="0"/>
              <w:jc w:val="right"/>
              <w:rPr>
                <w:rFonts w:cstheme="minorHAnsi"/>
                <w:kern w:val="2"/>
                <w:lang w:val="en-GB" w:eastAsia="ja-JP"/>
              </w:rPr>
            </w:pPr>
            <w:r w:rsidRPr="004539D1">
              <w:rPr>
                <w:rFonts w:eastAsia="Yu Gothic" w:cstheme="minorHAnsi"/>
                <w:color w:val="000000"/>
                <w:lang w:val="en-GB"/>
              </w:rPr>
              <w:t>1.48</w:t>
            </w:r>
          </w:p>
        </w:tc>
        <w:tc>
          <w:tcPr>
            <w:tcW w:w="1276" w:type="dxa"/>
            <w:tcBorders>
              <w:bottom w:val="single" w:sz="12" w:space="0" w:color="auto"/>
            </w:tcBorders>
            <w:vAlign w:val="center"/>
          </w:tcPr>
          <w:p w14:paraId="5E1CBDD9"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1.63</w:t>
            </w:r>
          </w:p>
        </w:tc>
        <w:tc>
          <w:tcPr>
            <w:tcW w:w="1701" w:type="dxa"/>
            <w:tcBorders>
              <w:bottom w:val="single" w:sz="12" w:space="0" w:color="auto"/>
            </w:tcBorders>
            <w:vAlign w:val="center"/>
          </w:tcPr>
          <w:p w14:paraId="0FAC0C78"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1.40</w:t>
            </w:r>
          </w:p>
        </w:tc>
        <w:tc>
          <w:tcPr>
            <w:tcW w:w="1842" w:type="dxa"/>
            <w:tcBorders>
              <w:bottom w:val="single" w:sz="12" w:space="0" w:color="auto"/>
            </w:tcBorders>
            <w:vAlign w:val="center"/>
          </w:tcPr>
          <w:p w14:paraId="56671AE1" w14:textId="77777777" w:rsidR="005A39D1" w:rsidRPr="004539D1" w:rsidRDefault="005A39D1" w:rsidP="00AC1A8B">
            <w:pPr>
              <w:widowControl w:val="0"/>
              <w:adjustRightInd w:val="0"/>
              <w:snapToGrid w:val="0"/>
              <w:jc w:val="right"/>
              <w:rPr>
                <w:rFonts w:cstheme="minorHAnsi"/>
                <w:lang w:val="en-GB"/>
              </w:rPr>
            </w:pPr>
            <w:r w:rsidRPr="004539D1">
              <w:rPr>
                <w:rFonts w:eastAsia="Yu Gothic" w:cstheme="minorHAnsi"/>
                <w:color w:val="000000"/>
                <w:lang w:val="en-GB"/>
              </w:rPr>
              <w:t>1.25</w:t>
            </w:r>
          </w:p>
        </w:tc>
      </w:tr>
    </w:tbl>
    <w:p w14:paraId="405FCEF0" w14:textId="77777777" w:rsidR="005A39D1" w:rsidRPr="004539D1" w:rsidRDefault="005A39D1" w:rsidP="005A39D1">
      <w:pPr>
        <w:widowControl w:val="0"/>
        <w:adjustRightInd w:val="0"/>
        <w:snapToGrid w:val="0"/>
        <w:rPr>
          <w:rFonts w:cstheme="minorHAnsi"/>
          <w:b/>
          <w:bCs/>
          <w:lang w:val="en-GB"/>
        </w:rPr>
      </w:pPr>
      <w:r w:rsidRPr="004539D1">
        <w:rPr>
          <w:rFonts w:cstheme="minorHAnsi"/>
          <w:b/>
          <w:bCs/>
          <w:lang w:val="en-GB"/>
        </w:rPr>
        <w:br w:type="page"/>
      </w:r>
    </w:p>
    <w:p w14:paraId="36929DBC" w14:textId="77777777" w:rsidR="005A39D1" w:rsidRPr="004539D1" w:rsidRDefault="005A39D1" w:rsidP="005A39D1">
      <w:pPr>
        <w:widowControl w:val="0"/>
        <w:adjustRightInd w:val="0"/>
        <w:snapToGrid w:val="0"/>
        <w:jc w:val="both"/>
        <w:rPr>
          <w:rFonts w:cstheme="minorHAnsi"/>
          <w:b/>
          <w:bCs/>
          <w:lang w:val="en-GB"/>
        </w:rPr>
      </w:pPr>
    </w:p>
    <w:p w14:paraId="31BA1941" w14:textId="77777777" w:rsidR="005A39D1" w:rsidRPr="004539D1" w:rsidRDefault="005A39D1" w:rsidP="005A39D1">
      <w:pPr>
        <w:widowControl w:val="0"/>
        <w:adjustRightInd w:val="0"/>
        <w:snapToGrid w:val="0"/>
        <w:jc w:val="both"/>
        <w:rPr>
          <w:rFonts w:cstheme="minorHAnsi"/>
          <w:b/>
          <w:bCs/>
          <w:lang w:val="en-GB"/>
        </w:rPr>
      </w:pPr>
    </w:p>
    <w:p w14:paraId="4B6791ED" w14:textId="77777777" w:rsidR="005A39D1" w:rsidRPr="004539D1" w:rsidRDefault="005A39D1" w:rsidP="005A39D1">
      <w:pPr>
        <w:widowControl w:val="0"/>
        <w:adjustRightInd w:val="0"/>
        <w:snapToGrid w:val="0"/>
        <w:jc w:val="center"/>
        <w:rPr>
          <w:rFonts w:cstheme="minorHAnsi"/>
          <w:b/>
          <w:bCs/>
          <w:lang w:val="en-GB"/>
        </w:rPr>
      </w:pPr>
      <w:r w:rsidRPr="004539D1">
        <w:rPr>
          <w:rFonts w:cstheme="minorHAnsi"/>
          <w:b/>
          <w:bCs/>
          <w:noProof/>
          <w:lang w:val="en-GB"/>
        </w:rPr>
        <w:drawing>
          <wp:inline distT="0" distB="0" distL="0" distR="0" wp14:anchorId="77E52498" wp14:editId="2CB9C5EB">
            <wp:extent cx="3507287" cy="3581319"/>
            <wp:effectExtent l="0" t="0" r="0" b="635"/>
            <wp:docPr id="21376148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825" name=""/>
                    <pic:cNvPicPr/>
                  </pic:nvPicPr>
                  <pic:blipFill>
                    <a:blip r:embed="rId9"/>
                    <a:stretch>
                      <a:fillRect/>
                    </a:stretch>
                  </pic:blipFill>
                  <pic:spPr>
                    <a:xfrm>
                      <a:off x="0" y="0"/>
                      <a:ext cx="3514648" cy="3588835"/>
                    </a:xfrm>
                    <a:prstGeom prst="rect">
                      <a:avLst/>
                    </a:prstGeom>
                  </pic:spPr>
                </pic:pic>
              </a:graphicData>
            </a:graphic>
          </wp:inline>
        </w:drawing>
      </w:r>
    </w:p>
    <w:p w14:paraId="5F561D98" w14:textId="77777777" w:rsidR="005A39D1" w:rsidRPr="004539D1" w:rsidRDefault="005A39D1" w:rsidP="005A39D1">
      <w:pPr>
        <w:widowControl w:val="0"/>
        <w:adjustRightInd w:val="0"/>
        <w:snapToGrid w:val="0"/>
        <w:jc w:val="both"/>
        <w:rPr>
          <w:rFonts w:cstheme="minorHAnsi"/>
          <w:lang w:val="en-GB"/>
        </w:rPr>
      </w:pPr>
      <w:r w:rsidRPr="004539D1">
        <w:rPr>
          <w:rFonts w:cstheme="minorHAnsi"/>
          <w:b/>
          <w:bCs/>
          <w:lang w:val="en-GB"/>
        </w:rPr>
        <w:t>Figure NPALB-1.</w:t>
      </w:r>
      <w:r w:rsidRPr="004539D1">
        <w:rPr>
          <w:rFonts w:cstheme="minorHAnsi"/>
          <w:lang w:val="en-GB"/>
        </w:rPr>
        <w:t xml:space="preserve"> Maximum likelihood estimates of (A) age-1+ biomass (B), female spawning biomass (SSB), and (C) age-0 recruitment of north Pacific albacore tuna (Thunnus alalunga). Dashed lines (A and B) and vertical bars (C) indicate 95% confidence intervals. Closed black circle and error bars in (B) and (C) are the maximum likelihood estimate and 95% confidence intervals of unfished female spawning biomass, SSB0, and unfished recruitment, respectively, at equilibrium (Figure ES3 from SC19-SA-WP-08). </w:t>
      </w:r>
    </w:p>
    <w:p w14:paraId="05BA2AA9" w14:textId="77777777" w:rsidR="005A39D1" w:rsidRPr="004539D1" w:rsidRDefault="005A39D1" w:rsidP="005A39D1">
      <w:pPr>
        <w:widowControl w:val="0"/>
        <w:adjustRightInd w:val="0"/>
        <w:snapToGrid w:val="0"/>
        <w:jc w:val="both"/>
        <w:rPr>
          <w:rFonts w:cstheme="minorHAnsi"/>
          <w:lang w:val="en-GB"/>
        </w:rPr>
      </w:pPr>
    </w:p>
    <w:p w14:paraId="52035216" w14:textId="77777777" w:rsidR="005A39D1" w:rsidRPr="004539D1" w:rsidRDefault="005A39D1" w:rsidP="005A39D1">
      <w:pPr>
        <w:widowControl w:val="0"/>
        <w:adjustRightInd w:val="0"/>
        <w:snapToGrid w:val="0"/>
        <w:jc w:val="center"/>
        <w:rPr>
          <w:rFonts w:cstheme="minorHAnsi"/>
          <w:lang w:val="en-GB"/>
        </w:rPr>
      </w:pPr>
      <w:r w:rsidRPr="004539D1">
        <w:rPr>
          <w:rFonts w:cstheme="minorHAnsi"/>
          <w:noProof/>
          <w:lang w:val="en-GB"/>
        </w:rPr>
        <w:drawing>
          <wp:inline distT="0" distB="0" distL="0" distR="0" wp14:anchorId="6DEA9505" wp14:editId="5B63DA0D">
            <wp:extent cx="3081402" cy="2779725"/>
            <wp:effectExtent l="0" t="0" r="0" b="0"/>
            <wp:docPr id="1681200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0068" name=""/>
                    <pic:cNvPicPr/>
                  </pic:nvPicPr>
                  <pic:blipFill>
                    <a:blip r:embed="rId10"/>
                    <a:stretch>
                      <a:fillRect/>
                    </a:stretch>
                  </pic:blipFill>
                  <pic:spPr>
                    <a:xfrm>
                      <a:off x="0" y="0"/>
                      <a:ext cx="3085957" cy="2783834"/>
                    </a:xfrm>
                    <a:prstGeom prst="rect">
                      <a:avLst/>
                    </a:prstGeom>
                  </pic:spPr>
                </pic:pic>
              </a:graphicData>
            </a:graphic>
          </wp:inline>
        </w:drawing>
      </w:r>
    </w:p>
    <w:p w14:paraId="6470F4C6" w14:textId="77777777" w:rsidR="005A39D1" w:rsidRPr="004539D1" w:rsidRDefault="005A39D1" w:rsidP="005A39D1">
      <w:pPr>
        <w:widowControl w:val="0"/>
        <w:adjustRightInd w:val="0"/>
        <w:snapToGrid w:val="0"/>
        <w:rPr>
          <w:rFonts w:cstheme="minorHAnsi"/>
          <w:lang w:val="en-GB"/>
        </w:rPr>
      </w:pPr>
      <w:r w:rsidRPr="004539D1">
        <w:rPr>
          <w:rFonts w:cstheme="minorHAnsi"/>
          <w:b/>
          <w:bCs/>
          <w:lang w:val="en-GB"/>
        </w:rPr>
        <w:t>Figure NPALB-2.</w:t>
      </w:r>
      <w:r w:rsidRPr="004539D1">
        <w:rPr>
          <w:rFonts w:cstheme="minorHAnsi"/>
          <w:lang w:val="en-GB"/>
        </w:rPr>
        <w:t xml:space="preserve"> Estimated sex-specific instantaneous fishing mortality-at-age (F-at-age) for the 2023 base case model, averaged across 2018-2020 (Figure ES4 from SC19-SA-WP-08). </w:t>
      </w:r>
    </w:p>
    <w:p w14:paraId="5C6B4784" w14:textId="77777777" w:rsidR="005A39D1" w:rsidRPr="004539D1" w:rsidRDefault="005A39D1" w:rsidP="005A39D1">
      <w:pPr>
        <w:widowControl w:val="0"/>
        <w:adjustRightInd w:val="0"/>
        <w:snapToGrid w:val="0"/>
        <w:rPr>
          <w:rFonts w:cstheme="minorHAnsi"/>
          <w:lang w:val="en-GB"/>
        </w:rPr>
      </w:pPr>
    </w:p>
    <w:p w14:paraId="1AA368E6" w14:textId="77777777" w:rsidR="005A39D1" w:rsidRPr="004539D1" w:rsidRDefault="005A39D1" w:rsidP="005A39D1">
      <w:pPr>
        <w:widowControl w:val="0"/>
        <w:adjustRightInd w:val="0"/>
        <w:snapToGrid w:val="0"/>
        <w:jc w:val="center"/>
        <w:rPr>
          <w:rFonts w:cstheme="minorHAnsi"/>
          <w:lang w:val="en-GB"/>
        </w:rPr>
      </w:pPr>
      <w:r w:rsidRPr="004539D1">
        <w:rPr>
          <w:rFonts w:cstheme="minorHAnsi"/>
          <w:noProof/>
          <w:lang w:val="en-GB"/>
        </w:rPr>
        <w:drawing>
          <wp:inline distT="0" distB="0" distL="0" distR="0" wp14:anchorId="20B0FAAB" wp14:editId="408D32B6">
            <wp:extent cx="3594970" cy="3207580"/>
            <wp:effectExtent l="0" t="0" r="5715" b="0"/>
            <wp:docPr id="10643516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51604" name=""/>
                    <pic:cNvPicPr/>
                  </pic:nvPicPr>
                  <pic:blipFill>
                    <a:blip r:embed="rId11"/>
                    <a:stretch>
                      <a:fillRect/>
                    </a:stretch>
                  </pic:blipFill>
                  <pic:spPr>
                    <a:xfrm>
                      <a:off x="0" y="0"/>
                      <a:ext cx="3605012" cy="3216540"/>
                    </a:xfrm>
                    <a:prstGeom prst="rect">
                      <a:avLst/>
                    </a:prstGeom>
                  </pic:spPr>
                </pic:pic>
              </a:graphicData>
            </a:graphic>
          </wp:inline>
        </w:drawing>
      </w:r>
    </w:p>
    <w:p w14:paraId="09FC0026" w14:textId="77777777" w:rsidR="005A39D1" w:rsidRPr="004539D1" w:rsidRDefault="005A39D1" w:rsidP="005A39D1">
      <w:pPr>
        <w:widowControl w:val="0"/>
        <w:adjustRightInd w:val="0"/>
        <w:snapToGrid w:val="0"/>
        <w:rPr>
          <w:rFonts w:cstheme="minorHAnsi"/>
          <w:lang w:val="en-GB"/>
        </w:rPr>
      </w:pPr>
      <w:r w:rsidRPr="004539D1">
        <w:rPr>
          <w:rFonts w:cstheme="minorHAnsi"/>
          <w:b/>
          <w:bCs/>
          <w:lang w:val="en-GB"/>
        </w:rPr>
        <w:t>Figure NPALB-3.</w:t>
      </w:r>
      <w:r w:rsidRPr="004539D1">
        <w:rPr>
          <w:rFonts w:cstheme="minorHAnsi"/>
          <w:lang w:val="en-GB"/>
        </w:rPr>
        <w:t xml:space="preserve"> Historical catch-at-age of north Pacific albacore (</w:t>
      </w:r>
      <w:r w:rsidRPr="004539D1">
        <w:rPr>
          <w:rFonts w:cstheme="minorHAnsi"/>
          <w:i/>
          <w:iCs/>
          <w:lang w:val="en-GB"/>
        </w:rPr>
        <w:t>Thunnus alalunga</w:t>
      </w:r>
      <w:r w:rsidRPr="004539D1">
        <w:rPr>
          <w:rFonts w:cstheme="minorHAnsi"/>
          <w:lang w:val="en-GB"/>
        </w:rPr>
        <w:t xml:space="preserve">) estimated by the 2023 base case model (Figure ES5 from SC19-SA-WP-08). </w:t>
      </w:r>
    </w:p>
    <w:p w14:paraId="239E54F3" w14:textId="77777777" w:rsidR="005A39D1" w:rsidRPr="004539D1" w:rsidRDefault="005A39D1" w:rsidP="005A39D1">
      <w:pPr>
        <w:widowControl w:val="0"/>
        <w:adjustRightInd w:val="0"/>
        <w:snapToGrid w:val="0"/>
        <w:rPr>
          <w:rFonts w:cstheme="minorHAnsi"/>
          <w:lang w:val="en-GB"/>
        </w:rPr>
      </w:pPr>
    </w:p>
    <w:p w14:paraId="0C2DA906" w14:textId="77777777" w:rsidR="005A39D1" w:rsidRPr="004539D1" w:rsidRDefault="005A39D1" w:rsidP="005A39D1">
      <w:pPr>
        <w:widowControl w:val="0"/>
        <w:adjustRightInd w:val="0"/>
        <w:snapToGrid w:val="0"/>
        <w:rPr>
          <w:rFonts w:cstheme="minorHAnsi"/>
          <w:lang w:val="en-GB"/>
        </w:rPr>
      </w:pPr>
    </w:p>
    <w:p w14:paraId="4EBA0E3D" w14:textId="77777777" w:rsidR="005A39D1" w:rsidRPr="004539D1" w:rsidRDefault="005A39D1" w:rsidP="005A39D1">
      <w:pPr>
        <w:widowControl w:val="0"/>
        <w:adjustRightInd w:val="0"/>
        <w:snapToGrid w:val="0"/>
        <w:jc w:val="center"/>
        <w:rPr>
          <w:rFonts w:cstheme="minorHAnsi"/>
          <w:lang w:val="en-GB"/>
        </w:rPr>
      </w:pPr>
      <w:r w:rsidRPr="004539D1">
        <w:rPr>
          <w:rFonts w:cstheme="minorHAnsi"/>
          <w:noProof/>
          <w:lang w:val="en-GB"/>
        </w:rPr>
        <w:drawing>
          <wp:inline distT="0" distB="0" distL="0" distR="0" wp14:anchorId="03DF39A0" wp14:editId="25B269DF">
            <wp:extent cx="3995928" cy="3231031"/>
            <wp:effectExtent l="0" t="0" r="5080" b="0"/>
            <wp:docPr id="3222881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88133" name=""/>
                    <pic:cNvPicPr/>
                  </pic:nvPicPr>
                  <pic:blipFill>
                    <a:blip r:embed="rId12"/>
                    <a:stretch>
                      <a:fillRect/>
                    </a:stretch>
                  </pic:blipFill>
                  <pic:spPr>
                    <a:xfrm>
                      <a:off x="0" y="0"/>
                      <a:ext cx="4002365" cy="3236236"/>
                    </a:xfrm>
                    <a:prstGeom prst="rect">
                      <a:avLst/>
                    </a:prstGeom>
                  </pic:spPr>
                </pic:pic>
              </a:graphicData>
            </a:graphic>
          </wp:inline>
        </w:drawing>
      </w:r>
    </w:p>
    <w:p w14:paraId="52C129CD" w14:textId="77777777" w:rsidR="005A39D1" w:rsidRPr="004539D1" w:rsidRDefault="005A39D1" w:rsidP="005A39D1">
      <w:pPr>
        <w:widowControl w:val="0"/>
        <w:adjustRightInd w:val="0"/>
        <w:snapToGrid w:val="0"/>
        <w:jc w:val="both"/>
        <w:rPr>
          <w:rFonts w:cstheme="minorHAnsi"/>
          <w:lang w:val="en-GB"/>
        </w:rPr>
      </w:pPr>
      <w:r w:rsidRPr="004539D1">
        <w:rPr>
          <w:rFonts w:cstheme="minorHAnsi"/>
          <w:b/>
          <w:bCs/>
          <w:lang w:val="en-GB"/>
        </w:rPr>
        <w:t>Figure NPALB-4.</w:t>
      </w:r>
      <w:r w:rsidRPr="004539D1">
        <w:rPr>
          <w:rFonts w:cstheme="minorHAnsi"/>
          <w:lang w:val="en-GB"/>
        </w:rPr>
        <w:t xml:space="preserve"> Fishery impact analysis on north Pacific albacore (</w:t>
      </w:r>
      <w:r w:rsidRPr="004539D1">
        <w:rPr>
          <w:rFonts w:cstheme="minorHAnsi"/>
          <w:i/>
          <w:iCs/>
          <w:lang w:val="en-GB"/>
        </w:rPr>
        <w:t>Thunnus alalunga</w:t>
      </w:r>
      <w:r w:rsidRPr="004539D1">
        <w:rPr>
          <w:rFonts w:cstheme="minorHAnsi"/>
          <w:lang w:val="en-GB"/>
        </w:rPr>
        <w:t>) showing female spawning biomass (SSB) (red) estimated by the 2023 base case model as a percentage of dynamic, unfished female SSB (</w:t>
      </w:r>
      <w:proofErr w:type="spellStart"/>
      <w:r w:rsidRPr="004539D1">
        <w:rPr>
          <w:rFonts w:cstheme="minorHAnsi"/>
          <w:lang w:val="en-GB"/>
        </w:rPr>
        <w:t>SSB</w:t>
      </w:r>
      <w:r w:rsidRPr="004539D1">
        <w:rPr>
          <w:rFonts w:cstheme="minorHAnsi"/>
          <w:vertAlign w:val="subscript"/>
          <w:lang w:val="en-GB"/>
        </w:rPr>
        <w:t>current</w:t>
      </w:r>
      <w:proofErr w:type="spellEnd"/>
      <w:r w:rsidRPr="004539D1">
        <w:rPr>
          <w:rFonts w:cstheme="minorHAnsi"/>
          <w:vertAlign w:val="subscript"/>
          <w:lang w:val="en-GB"/>
        </w:rPr>
        <w:t>, F=0</w:t>
      </w:r>
      <w:r w:rsidRPr="004539D1">
        <w:rPr>
          <w:rFonts w:cstheme="minorHAnsi"/>
          <w:lang w:val="en-GB"/>
        </w:rPr>
        <w:t xml:space="preserve">). </w:t>
      </w:r>
      <w:proofErr w:type="spellStart"/>
      <w:r w:rsidRPr="004539D1">
        <w:rPr>
          <w:rFonts w:cstheme="minorHAnsi"/>
          <w:lang w:val="en-GB"/>
        </w:rPr>
        <w:t>Colored</w:t>
      </w:r>
      <w:proofErr w:type="spellEnd"/>
      <w:r w:rsidRPr="004539D1">
        <w:rPr>
          <w:rFonts w:cstheme="minorHAnsi"/>
          <w:lang w:val="en-GB"/>
        </w:rPr>
        <w:t xml:space="preserve"> areas show the relative proportion of fishing impact attributed to longline (green) and surface (blue) fisheries (primarily troll and pole-and-line gear but including all other gears except longline) (Figure ES6 from SC19-SA-WP-08). </w:t>
      </w:r>
    </w:p>
    <w:p w14:paraId="576D9009" w14:textId="77777777" w:rsidR="005A39D1" w:rsidRDefault="005A39D1" w:rsidP="005A39D1">
      <w:pPr>
        <w:widowControl w:val="0"/>
        <w:adjustRightInd w:val="0"/>
        <w:snapToGrid w:val="0"/>
        <w:rPr>
          <w:rFonts w:cstheme="minorHAnsi"/>
          <w:lang w:val="en-GB"/>
        </w:rPr>
      </w:pPr>
    </w:p>
    <w:p w14:paraId="30B12273" w14:textId="77777777" w:rsidR="004539D1" w:rsidRDefault="004539D1" w:rsidP="005A39D1">
      <w:pPr>
        <w:widowControl w:val="0"/>
        <w:adjustRightInd w:val="0"/>
        <w:snapToGrid w:val="0"/>
        <w:rPr>
          <w:rFonts w:cstheme="minorHAnsi"/>
          <w:lang w:val="en-GB"/>
        </w:rPr>
      </w:pPr>
    </w:p>
    <w:p w14:paraId="48D9EF0A" w14:textId="77777777" w:rsidR="004539D1" w:rsidRDefault="004539D1" w:rsidP="005A39D1">
      <w:pPr>
        <w:widowControl w:val="0"/>
        <w:adjustRightInd w:val="0"/>
        <w:snapToGrid w:val="0"/>
        <w:rPr>
          <w:rFonts w:cstheme="minorHAnsi"/>
          <w:lang w:val="en-GB"/>
        </w:rPr>
      </w:pPr>
    </w:p>
    <w:p w14:paraId="7A65AC43" w14:textId="77777777" w:rsidR="004539D1" w:rsidRPr="004539D1" w:rsidRDefault="004539D1" w:rsidP="005A39D1">
      <w:pPr>
        <w:widowControl w:val="0"/>
        <w:adjustRightInd w:val="0"/>
        <w:snapToGrid w:val="0"/>
        <w:rPr>
          <w:rFonts w:cstheme="minorHAnsi"/>
          <w:lang w:val="en-GB"/>
        </w:rPr>
      </w:pPr>
    </w:p>
    <w:p w14:paraId="213B9F0F" w14:textId="77777777" w:rsidR="005A39D1" w:rsidRPr="004539D1" w:rsidRDefault="005A39D1" w:rsidP="005A39D1">
      <w:pPr>
        <w:widowControl w:val="0"/>
        <w:adjustRightInd w:val="0"/>
        <w:snapToGrid w:val="0"/>
        <w:rPr>
          <w:rFonts w:cstheme="minorHAnsi"/>
          <w:lang w:val="en-GB"/>
        </w:rPr>
      </w:pPr>
    </w:p>
    <w:p w14:paraId="0751CA9C" w14:textId="77777777" w:rsidR="005A39D1" w:rsidRPr="004539D1" w:rsidRDefault="005A39D1" w:rsidP="005A39D1">
      <w:pPr>
        <w:widowControl w:val="0"/>
        <w:adjustRightInd w:val="0"/>
        <w:snapToGrid w:val="0"/>
        <w:rPr>
          <w:rFonts w:cstheme="minorHAnsi"/>
          <w:lang w:val="en-GB"/>
        </w:rPr>
      </w:pPr>
      <w:r w:rsidRPr="004539D1">
        <w:rPr>
          <w:rFonts w:cstheme="minorHAnsi"/>
          <w:noProof/>
          <w:lang w:val="en-GB"/>
        </w:rPr>
        <w:drawing>
          <wp:inline distT="0" distB="0" distL="0" distR="0" wp14:anchorId="48945313" wp14:editId="7D43C92E">
            <wp:extent cx="5737236" cy="2630466"/>
            <wp:effectExtent l="0" t="0" r="0" b="0"/>
            <wp:docPr id="105329505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295057" name=""/>
                    <pic:cNvPicPr/>
                  </pic:nvPicPr>
                  <pic:blipFill>
                    <a:blip r:embed="rId13"/>
                    <a:stretch>
                      <a:fillRect/>
                    </a:stretch>
                  </pic:blipFill>
                  <pic:spPr>
                    <a:xfrm>
                      <a:off x="0" y="0"/>
                      <a:ext cx="5749517" cy="2636097"/>
                    </a:xfrm>
                    <a:prstGeom prst="rect">
                      <a:avLst/>
                    </a:prstGeom>
                  </pic:spPr>
                </pic:pic>
              </a:graphicData>
            </a:graphic>
          </wp:inline>
        </w:drawing>
      </w:r>
    </w:p>
    <w:p w14:paraId="67D67313" w14:textId="77777777" w:rsidR="005A39D1" w:rsidRPr="004539D1" w:rsidRDefault="005A39D1" w:rsidP="005A39D1">
      <w:pPr>
        <w:widowControl w:val="0"/>
        <w:adjustRightInd w:val="0"/>
        <w:snapToGrid w:val="0"/>
        <w:jc w:val="both"/>
        <w:rPr>
          <w:rFonts w:cstheme="minorHAnsi"/>
          <w:lang w:val="en-GB"/>
        </w:rPr>
      </w:pPr>
      <w:r w:rsidRPr="004539D1">
        <w:rPr>
          <w:rFonts w:cstheme="minorHAnsi"/>
          <w:b/>
          <w:bCs/>
          <w:lang w:val="en-GB"/>
        </w:rPr>
        <w:t>Figure NPALB-5.</w:t>
      </w:r>
      <w:r w:rsidRPr="004539D1">
        <w:rPr>
          <w:rFonts w:cstheme="minorHAnsi"/>
          <w:lang w:val="en-GB"/>
        </w:rPr>
        <w:t xml:space="preserve"> Stock status phase plot showing the status of the north Pacific albacore (Thunnus alalunga) stock relative to the biomass-based threshold (30%SSB</w:t>
      </w:r>
      <w:r w:rsidRPr="004539D1">
        <w:rPr>
          <w:rFonts w:cstheme="minorHAnsi"/>
          <w:vertAlign w:val="subscript"/>
          <w:lang w:val="en-GB"/>
        </w:rPr>
        <w:t>current, F=0</w:t>
      </w:r>
      <w:r w:rsidRPr="004539D1">
        <w:rPr>
          <w:rFonts w:cstheme="minorHAnsi"/>
          <w:lang w:val="en-GB"/>
        </w:rPr>
        <w:t>) and limit (14%SSB</w:t>
      </w:r>
      <w:r w:rsidRPr="004539D1">
        <w:rPr>
          <w:rFonts w:cstheme="minorHAnsi"/>
          <w:vertAlign w:val="subscript"/>
          <w:lang w:val="en-GB"/>
        </w:rPr>
        <w:t>current, F=0</w:t>
      </w:r>
      <w:r w:rsidRPr="004539D1">
        <w:rPr>
          <w:rFonts w:cstheme="minorHAnsi"/>
          <w:lang w:val="en-GB"/>
        </w:rPr>
        <w:t>) reference points, and fishing intensity-based target reference point (F45</w:t>
      </w:r>
      <w:r w:rsidRPr="004539D1">
        <w:rPr>
          <w:rFonts w:cstheme="minorHAnsi"/>
          <w:vertAlign w:val="subscript"/>
          <w:lang w:val="en-GB"/>
        </w:rPr>
        <w:t>%SPR</w:t>
      </w:r>
      <w:r w:rsidRPr="004539D1">
        <w:rPr>
          <w:rFonts w:cstheme="minorHAnsi"/>
          <w:lang w:val="en-GB"/>
        </w:rPr>
        <w:t xml:space="preserve">) over the </w:t>
      </w:r>
      <w:proofErr w:type="spellStart"/>
      <w:r w:rsidRPr="004539D1">
        <w:rPr>
          <w:rFonts w:cstheme="minorHAnsi"/>
          <w:lang w:val="en-GB"/>
        </w:rPr>
        <w:t>modeling</w:t>
      </w:r>
      <w:proofErr w:type="spellEnd"/>
      <w:r w:rsidRPr="004539D1">
        <w:rPr>
          <w:rFonts w:cstheme="minorHAnsi"/>
          <w:lang w:val="en-GB"/>
        </w:rPr>
        <w:t xml:space="preserve"> period (1994 – 2021). Blue triangle indicates the start year (1994) and black circle with 95% confidence intervals indicates the terminal year (2021). (B) Stock status plot showing current stock status and 95% confidence intervals of the base case model (black circle), an important sensitivity run of CV = 0.06 for </w:t>
      </w:r>
      <w:proofErr w:type="spellStart"/>
      <w:r w:rsidRPr="004539D1">
        <w:rPr>
          <w:rFonts w:cstheme="minorHAnsi"/>
          <w:lang w:val="en-GB"/>
        </w:rPr>
        <w:t>Linf</w:t>
      </w:r>
      <w:proofErr w:type="spellEnd"/>
      <w:r w:rsidRPr="004539D1">
        <w:rPr>
          <w:rFonts w:cstheme="minorHAnsi"/>
          <w:lang w:val="en-GB"/>
        </w:rPr>
        <w:t xml:space="preserve"> in the growth model (</w:t>
      </w:r>
      <w:proofErr w:type="spellStart"/>
      <w:r w:rsidRPr="004539D1">
        <w:rPr>
          <w:rFonts w:cstheme="minorHAnsi"/>
          <w:lang w:val="en-GB"/>
        </w:rPr>
        <w:t>gray</w:t>
      </w:r>
      <w:proofErr w:type="spellEnd"/>
      <w:r w:rsidRPr="004539D1">
        <w:rPr>
          <w:rFonts w:cstheme="minorHAnsi"/>
          <w:lang w:val="en-GB"/>
        </w:rPr>
        <w:t xml:space="preserve"> square), an important sensitivity run with an estimated growth model (purple triangle), and a model representing an update of the 2020 base case model to 2023 data (red diamond). 95% confidence intervals are not shown for the update of the 2020 base case model (red diamond) because the model did not have a positive definite Hessian matrix and uncertainty estimates were unreliable. Red zones in both panels indicate female SSBs falling below the limit reference point while the orange zones indicate female SSBs between the threshold and limit reference points. Green zones indicate female SSBs above the threshold reference point and fishing intensity levels below the target reference point. Yellow areas indicate female SSBs above the threshold reference point and fishing intensity levels above the target reference point. The Fs in this figure are indicators of fishing intensity based on spawning potential ratio (SPR) and calculated as %SPR. SPR is the ratio of the equilibrium SSB per recruit that would result from the estimated F-at-age relative to that of an unfished population. A higher %SPR indicates lower fishing intensity. Current fishing intensity values and SSB/</w:t>
      </w:r>
      <w:proofErr w:type="spellStart"/>
      <w:proofErr w:type="gramStart"/>
      <w:r w:rsidRPr="004539D1">
        <w:rPr>
          <w:rFonts w:cstheme="minorHAnsi"/>
          <w:lang w:val="en-GB"/>
        </w:rPr>
        <w:t>SSB</w:t>
      </w:r>
      <w:r w:rsidRPr="004539D1">
        <w:rPr>
          <w:rFonts w:cstheme="minorHAnsi"/>
          <w:vertAlign w:val="subscript"/>
          <w:lang w:val="en-GB"/>
        </w:rPr>
        <w:t>current,F</w:t>
      </w:r>
      <w:proofErr w:type="spellEnd"/>
      <w:proofErr w:type="gramEnd"/>
      <w:r w:rsidRPr="004539D1">
        <w:rPr>
          <w:rFonts w:cstheme="minorHAnsi"/>
          <w:vertAlign w:val="subscript"/>
          <w:lang w:val="en-GB"/>
        </w:rPr>
        <w:t>=0</w:t>
      </w:r>
      <w:r w:rsidRPr="004539D1">
        <w:rPr>
          <w:rFonts w:cstheme="minorHAnsi"/>
          <w:lang w:val="en-GB"/>
        </w:rPr>
        <w:t xml:space="preserve"> ratios in (B) were calculated as the average during 2018- 2020 (F</w:t>
      </w:r>
      <w:r w:rsidRPr="004539D1">
        <w:rPr>
          <w:rFonts w:cstheme="minorHAnsi"/>
          <w:vertAlign w:val="subscript"/>
          <w:lang w:val="en-GB"/>
        </w:rPr>
        <w:t>%SPR</w:t>
      </w:r>
      <w:r w:rsidRPr="004539D1">
        <w:rPr>
          <w:rFonts w:cstheme="minorHAnsi"/>
          <w:lang w:val="en-GB"/>
        </w:rPr>
        <w:t>, 2018-2020) and 2021 (SSB2021/</w:t>
      </w:r>
      <w:proofErr w:type="spellStart"/>
      <w:r w:rsidRPr="004539D1">
        <w:rPr>
          <w:rFonts w:cstheme="minorHAnsi"/>
          <w:lang w:val="en-GB"/>
        </w:rPr>
        <w:t>SSB</w:t>
      </w:r>
      <w:r w:rsidRPr="004539D1">
        <w:rPr>
          <w:rFonts w:cstheme="minorHAnsi"/>
          <w:vertAlign w:val="subscript"/>
          <w:lang w:val="en-GB"/>
        </w:rPr>
        <w:t>current</w:t>
      </w:r>
      <w:proofErr w:type="spellEnd"/>
      <w:r w:rsidRPr="004539D1">
        <w:rPr>
          <w:rFonts w:cstheme="minorHAnsi"/>
          <w:vertAlign w:val="subscript"/>
          <w:lang w:val="en-GB"/>
        </w:rPr>
        <w:t>, F=0</w:t>
      </w:r>
      <w:r w:rsidRPr="004539D1">
        <w:rPr>
          <w:rFonts w:cstheme="minorHAnsi"/>
          <w:lang w:val="en-GB"/>
        </w:rPr>
        <w:t xml:space="preserve">), respectively. The model representing an update of the 2020 base case model is </w:t>
      </w:r>
      <w:proofErr w:type="gramStart"/>
      <w:r w:rsidRPr="004539D1">
        <w:rPr>
          <w:rFonts w:cstheme="minorHAnsi"/>
          <w:lang w:val="en-GB"/>
        </w:rPr>
        <w:t>similar to</w:t>
      </w:r>
      <w:proofErr w:type="gramEnd"/>
      <w:r w:rsidRPr="004539D1">
        <w:rPr>
          <w:rFonts w:cstheme="minorHAnsi"/>
          <w:lang w:val="en-GB"/>
        </w:rPr>
        <w:t xml:space="preserve"> but not identical to the 2020 base case model due to changes in data preparation and model structure (Figure ES7 from SC19-SA-WP-08). </w:t>
      </w:r>
    </w:p>
    <w:p w14:paraId="290986C8" w14:textId="77777777" w:rsidR="005A39D1" w:rsidRPr="004539D1" w:rsidRDefault="005A39D1" w:rsidP="005A39D1">
      <w:pPr>
        <w:widowControl w:val="0"/>
        <w:adjustRightInd w:val="0"/>
        <w:snapToGrid w:val="0"/>
        <w:rPr>
          <w:rFonts w:cstheme="minorHAnsi"/>
          <w:lang w:val="en-GB"/>
        </w:rPr>
      </w:pPr>
      <w:r w:rsidRPr="004539D1">
        <w:rPr>
          <w:rFonts w:cstheme="minorHAnsi"/>
          <w:lang w:val="en-GB"/>
        </w:rPr>
        <w:br w:type="page"/>
      </w:r>
    </w:p>
    <w:p w14:paraId="6D846931" w14:textId="77777777" w:rsidR="005A39D1" w:rsidRPr="004539D1" w:rsidRDefault="005A39D1" w:rsidP="005A39D1">
      <w:pPr>
        <w:widowControl w:val="0"/>
        <w:adjustRightInd w:val="0"/>
        <w:snapToGrid w:val="0"/>
        <w:jc w:val="center"/>
        <w:rPr>
          <w:rFonts w:cstheme="minorHAnsi"/>
          <w:lang w:val="en-GB"/>
        </w:rPr>
      </w:pPr>
      <w:r w:rsidRPr="004539D1">
        <w:rPr>
          <w:rFonts w:cstheme="minorHAnsi"/>
          <w:noProof/>
          <w:lang w:val="en-GB"/>
        </w:rPr>
        <w:drawing>
          <wp:inline distT="0" distB="0" distL="0" distR="0" wp14:anchorId="2C89DC47" wp14:editId="0A733FD7">
            <wp:extent cx="4334549" cy="2083682"/>
            <wp:effectExtent l="0" t="0" r="8890" b="0"/>
            <wp:docPr id="21258699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869934" name=""/>
                    <pic:cNvPicPr/>
                  </pic:nvPicPr>
                  <pic:blipFill>
                    <a:blip r:embed="rId14"/>
                    <a:stretch>
                      <a:fillRect/>
                    </a:stretch>
                  </pic:blipFill>
                  <pic:spPr>
                    <a:xfrm>
                      <a:off x="0" y="0"/>
                      <a:ext cx="4358799" cy="2095339"/>
                    </a:xfrm>
                    <a:prstGeom prst="rect">
                      <a:avLst/>
                    </a:prstGeom>
                  </pic:spPr>
                </pic:pic>
              </a:graphicData>
            </a:graphic>
          </wp:inline>
        </w:drawing>
      </w:r>
    </w:p>
    <w:p w14:paraId="0BC46208" w14:textId="77777777" w:rsidR="005A39D1" w:rsidRPr="004539D1" w:rsidRDefault="005A39D1" w:rsidP="005A39D1">
      <w:pPr>
        <w:widowControl w:val="0"/>
        <w:adjustRightInd w:val="0"/>
        <w:snapToGrid w:val="0"/>
        <w:jc w:val="both"/>
        <w:rPr>
          <w:rFonts w:cstheme="minorHAnsi"/>
          <w:lang w:val="en-GB"/>
        </w:rPr>
      </w:pPr>
      <w:r w:rsidRPr="004539D1">
        <w:rPr>
          <w:rFonts w:cstheme="minorHAnsi"/>
          <w:b/>
          <w:bCs/>
          <w:lang w:val="en-GB"/>
        </w:rPr>
        <w:t>Figure NPALB-6</w:t>
      </w:r>
      <w:r w:rsidRPr="004539D1">
        <w:rPr>
          <w:rFonts w:cstheme="minorHAnsi"/>
          <w:lang w:val="en-GB"/>
        </w:rPr>
        <w:t>. (A) Estimated dynamic biomass ratio (SSB/</w:t>
      </w:r>
      <w:proofErr w:type="spellStart"/>
      <w:r w:rsidRPr="004539D1">
        <w:rPr>
          <w:rFonts w:cstheme="minorHAnsi"/>
          <w:lang w:val="en-GB"/>
        </w:rPr>
        <w:t>SSB</w:t>
      </w:r>
      <w:r w:rsidRPr="004539D1">
        <w:rPr>
          <w:rFonts w:cstheme="minorHAnsi"/>
          <w:vertAlign w:val="subscript"/>
          <w:lang w:val="en-GB"/>
        </w:rPr>
        <w:t>current</w:t>
      </w:r>
      <w:proofErr w:type="spellEnd"/>
      <w:r w:rsidRPr="004539D1">
        <w:rPr>
          <w:rFonts w:cstheme="minorHAnsi"/>
          <w:vertAlign w:val="subscript"/>
          <w:lang w:val="en-GB"/>
        </w:rPr>
        <w:t>, F=0</w:t>
      </w:r>
      <w:r w:rsidRPr="004539D1">
        <w:rPr>
          <w:rFonts w:cstheme="minorHAnsi"/>
          <w:lang w:val="en-GB"/>
        </w:rPr>
        <w:t>) of north Pacific albacore relative to biomass-based threshold (30%SSB</w:t>
      </w:r>
      <w:r w:rsidRPr="004539D1">
        <w:rPr>
          <w:rFonts w:cstheme="minorHAnsi"/>
          <w:vertAlign w:val="subscript"/>
          <w:lang w:val="en-GB"/>
        </w:rPr>
        <w:t>current, F=0</w:t>
      </w:r>
      <w:r w:rsidRPr="004539D1">
        <w:rPr>
          <w:rFonts w:cstheme="minorHAnsi"/>
          <w:lang w:val="en-GB"/>
        </w:rPr>
        <w:t>) (orange dotted line) and limit (14%SSB</w:t>
      </w:r>
      <w:r w:rsidRPr="004539D1">
        <w:rPr>
          <w:rFonts w:cstheme="minorHAnsi"/>
          <w:vertAlign w:val="subscript"/>
          <w:lang w:val="en-GB"/>
        </w:rPr>
        <w:t>current, F=0</w:t>
      </w:r>
      <w:r w:rsidRPr="004539D1">
        <w:rPr>
          <w:rFonts w:cstheme="minorHAnsi"/>
          <w:lang w:val="en-GB"/>
        </w:rPr>
        <w:t xml:space="preserve">) reference points (red dashed line) over the </w:t>
      </w:r>
      <w:proofErr w:type="spellStart"/>
      <w:r w:rsidRPr="004539D1">
        <w:rPr>
          <w:rFonts w:cstheme="minorHAnsi"/>
          <w:lang w:val="en-GB"/>
        </w:rPr>
        <w:t>modeling</w:t>
      </w:r>
      <w:proofErr w:type="spellEnd"/>
      <w:r w:rsidRPr="004539D1">
        <w:rPr>
          <w:rFonts w:cstheme="minorHAnsi"/>
          <w:lang w:val="en-GB"/>
        </w:rPr>
        <w:t xml:space="preserve"> period (1994 – 2021); and (B) estimated fishing intensity relative to the fishing intensity-based target reference point (F45</w:t>
      </w:r>
      <w:r w:rsidRPr="004539D1">
        <w:rPr>
          <w:rFonts w:cstheme="minorHAnsi"/>
          <w:vertAlign w:val="subscript"/>
          <w:lang w:val="en-GB"/>
        </w:rPr>
        <w:t>%SPR</w:t>
      </w:r>
      <w:r w:rsidRPr="004539D1">
        <w:rPr>
          <w:rFonts w:cstheme="minorHAnsi"/>
          <w:lang w:val="en-GB"/>
        </w:rPr>
        <w:t xml:space="preserve">) over the </w:t>
      </w:r>
      <w:proofErr w:type="spellStart"/>
      <w:r w:rsidRPr="004539D1">
        <w:rPr>
          <w:rFonts w:cstheme="minorHAnsi"/>
          <w:lang w:val="en-GB"/>
        </w:rPr>
        <w:t>modeling</w:t>
      </w:r>
      <w:proofErr w:type="spellEnd"/>
      <w:r w:rsidRPr="004539D1">
        <w:rPr>
          <w:rFonts w:cstheme="minorHAnsi"/>
          <w:lang w:val="en-GB"/>
        </w:rPr>
        <w:t xml:space="preserve"> period (1994 – 2021). Light and dark </w:t>
      </w:r>
      <w:proofErr w:type="spellStart"/>
      <w:r w:rsidRPr="004539D1">
        <w:rPr>
          <w:rFonts w:cstheme="minorHAnsi"/>
          <w:lang w:val="en-GB"/>
        </w:rPr>
        <w:t>gray</w:t>
      </w:r>
      <w:proofErr w:type="spellEnd"/>
      <w:r w:rsidRPr="004539D1">
        <w:rPr>
          <w:rFonts w:cstheme="minorHAnsi"/>
          <w:lang w:val="en-GB"/>
        </w:rPr>
        <w:t xml:space="preserve"> areas indicate 95% and 60% confidence intervals respectively. The limit reference point </w:t>
      </w:r>
      <w:proofErr w:type="gramStart"/>
      <w:r w:rsidRPr="004539D1">
        <w:rPr>
          <w:rFonts w:cstheme="minorHAnsi"/>
          <w:lang w:val="en-GB"/>
        </w:rPr>
        <w:t>is considered to be</w:t>
      </w:r>
      <w:proofErr w:type="gramEnd"/>
      <w:r w:rsidRPr="004539D1">
        <w:rPr>
          <w:rFonts w:cstheme="minorHAnsi"/>
          <w:lang w:val="en-GB"/>
        </w:rPr>
        <w:t xml:space="preserve"> breached if the lower bound of the 60% confidence intervals overlaps the limit reference point (Figure ES8 from SC19-SA-WP-08). </w:t>
      </w:r>
    </w:p>
    <w:p w14:paraId="592166E4" w14:textId="77777777" w:rsidR="005A39D1" w:rsidRPr="004539D1" w:rsidRDefault="005A39D1" w:rsidP="005A39D1">
      <w:pPr>
        <w:widowControl w:val="0"/>
        <w:adjustRightInd w:val="0"/>
        <w:snapToGrid w:val="0"/>
        <w:jc w:val="center"/>
        <w:rPr>
          <w:rFonts w:cstheme="minorHAnsi"/>
          <w:lang w:val="en-GB"/>
        </w:rPr>
      </w:pPr>
      <w:r w:rsidRPr="004539D1">
        <w:rPr>
          <w:rFonts w:cstheme="minorHAnsi"/>
          <w:noProof/>
          <w:lang w:val="en-GB"/>
        </w:rPr>
        <w:drawing>
          <wp:inline distT="0" distB="0" distL="0" distR="0" wp14:anchorId="51588F5F" wp14:editId="50DFBF91">
            <wp:extent cx="3970020" cy="3604740"/>
            <wp:effectExtent l="0" t="0" r="0" b="0"/>
            <wp:docPr id="15719759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975990" name=""/>
                    <pic:cNvPicPr/>
                  </pic:nvPicPr>
                  <pic:blipFill>
                    <a:blip r:embed="rId15"/>
                    <a:stretch>
                      <a:fillRect/>
                    </a:stretch>
                  </pic:blipFill>
                  <pic:spPr>
                    <a:xfrm>
                      <a:off x="0" y="0"/>
                      <a:ext cx="3982002" cy="3615619"/>
                    </a:xfrm>
                    <a:prstGeom prst="rect">
                      <a:avLst/>
                    </a:prstGeom>
                  </pic:spPr>
                </pic:pic>
              </a:graphicData>
            </a:graphic>
          </wp:inline>
        </w:drawing>
      </w:r>
    </w:p>
    <w:p w14:paraId="71751583" w14:textId="77777777" w:rsidR="005A39D1" w:rsidRPr="004539D1" w:rsidRDefault="005A39D1" w:rsidP="005A39D1">
      <w:pPr>
        <w:widowControl w:val="0"/>
        <w:adjustRightInd w:val="0"/>
        <w:snapToGrid w:val="0"/>
        <w:jc w:val="both"/>
        <w:rPr>
          <w:rFonts w:cstheme="minorHAnsi"/>
          <w:lang w:val="en-GB"/>
        </w:rPr>
      </w:pPr>
      <w:r w:rsidRPr="004539D1">
        <w:rPr>
          <w:rFonts w:cstheme="minorHAnsi"/>
          <w:b/>
          <w:bCs/>
          <w:lang w:val="en-GB"/>
        </w:rPr>
        <w:t>Figure NPALB-7</w:t>
      </w:r>
      <w:r w:rsidRPr="004539D1">
        <w:rPr>
          <w:rFonts w:cstheme="minorHAnsi"/>
          <w:lang w:val="en-GB"/>
        </w:rPr>
        <w:t>. Future projection results under a constant fishing intensity (F</w:t>
      </w:r>
      <w:r w:rsidRPr="004539D1">
        <w:rPr>
          <w:rFonts w:cstheme="minorHAnsi"/>
          <w:vertAlign w:val="subscript"/>
          <w:lang w:val="en-GB"/>
        </w:rPr>
        <w:t>2018-2020</w:t>
      </w:r>
      <w:r w:rsidRPr="004539D1">
        <w:rPr>
          <w:rFonts w:cstheme="minorHAnsi"/>
          <w:lang w:val="en-GB"/>
        </w:rPr>
        <w:t>) harvest scenario. Solid lines indicate mean values, uncertainty ranges indicate 60% and 95% confidence intervals, and the dashed line is the reference point, respectively. (A) Annual changes in spawning biomass; (B) Interannual changes in fishing mortality (F</w:t>
      </w:r>
      <w:r w:rsidRPr="004539D1">
        <w:rPr>
          <w:rFonts w:cstheme="minorHAnsi"/>
          <w:vertAlign w:val="subscript"/>
          <w:lang w:val="en-GB"/>
        </w:rPr>
        <w:t>%SPR</w:t>
      </w:r>
      <w:r w:rsidRPr="004539D1">
        <w:rPr>
          <w:rFonts w:cstheme="minorHAnsi"/>
          <w:lang w:val="en-GB"/>
        </w:rPr>
        <w:t xml:space="preserve">); (C) Projected ratios to the limit reference point thresholds; and (D) Projected ratios to management targets for the total biomass (Figure ES9 from SC19-SA-WP-08). </w:t>
      </w:r>
    </w:p>
    <w:p w14:paraId="33C736E1" w14:textId="77777777" w:rsidR="005A39D1" w:rsidRPr="004539D1" w:rsidRDefault="005A39D1" w:rsidP="005A39D1">
      <w:pPr>
        <w:widowControl w:val="0"/>
        <w:adjustRightInd w:val="0"/>
        <w:snapToGrid w:val="0"/>
        <w:rPr>
          <w:rFonts w:cstheme="minorHAnsi"/>
          <w:lang w:val="en-GB"/>
        </w:rPr>
      </w:pPr>
    </w:p>
    <w:p w14:paraId="7C912BFA" w14:textId="77777777" w:rsidR="005A39D1" w:rsidRPr="004539D1" w:rsidRDefault="005A39D1" w:rsidP="005A39D1">
      <w:pPr>
        <w:widowControl w:val="0"/>
        <w:adjustRightInd w:val="0"/>
        <w:snapToGrid w:val="0"/>
        <w:rPr>
          <w:rFonts w:cstheme="minorHAnsi"/>
          <w:lang w:val="en-GB"/>
        </w:rPr>
      </w:pPr>
    </w:p>
    <w:p w14:paraId="685118A5" w14:textId="77777777" w:rsidR="005A39D1" w:rsidRPr="004539D1" w:rsidRDefault="005A39D1" w:rsidP="005A39D1">
      <w:pPr>
        <w:widowControl w:val="0"/>
        <w:adjustRightInd w:val="0"/>
        <w:snapToGrid w:val="0"/>
        <w:jc w:val="center"/>
        <w:rPr>
          <w:rFonts w:cstheme="minorHAnsi"/>
          <w:lang w:val="en-GB"/>
        </w:rPr>
      </w:pPr>
      <w:r w:rsidRPr="004539D1">
        <w:rPr>
          <w:rFonts w:cstheme="minorHAnsi"/>
          <w:noProof/>
          <w:lang w:val="en-GB"/>
        </w:rPr>
        <w:drawing>
          <wp:inline distT="0" distB="0" distL="0" distR="0" wp14:anchorId="693C9FC8" wp14:editId="55CAA109">
            <wp:extent cx="4734838" cy="4323113"/>
            <wp:effectExtent l="0" t="0" r="8890" b="1270"/>
            <wp:docPr id="9799824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982481" name=""/>
                    <pic:cNvPicPr/>
                  </pic:nvPicPr>
                  <pic:blipFill>
                    <a:blip r:embed="rId16"/>
                    <a:stretch>
                      <a:fillRect/>
                    </a:stretch>
                  </pic:blipFill>
                  <pic:spPr>
                    <a:xfrm>
                      <a:off x="0" y="0"/>
                      <a:ext cx="4736221" cy="4324376"/>
                    </a:xfrm>
                    <a:prstGeom prst="rect">
                      <a:avLst/>
                    </a:prstGeom>
                  </pic:spPr>
                </pic:pic>
              </a:graphicData>
            </a:graphic>
          </wp:inline>
        </w:drawing>
      </w:r>
    </w:p>
    <w:p w14:paraId="0A2B517B" w14:textId="77777777" w:rsidR="005A39D1" w:rsidRPr="004539D1" w:rsidRDefault="005A39D1" w:rsidP="005A39D1">
      <w:pPr>
        <w:widowControl w:val="0"/>
        <w:adjustRightInd w:val="0"/>
        <w:snapToGrid w:val="0"/>
        <w:jc w:val="both"/>
        <w:rPr>
          <w:rFonts w:cstheme="minorHAnsi"/>
          <w:lang w:val="en-GB"/>
        </w:rPr>
      </w:pPr>
      <w:r w:rsidRPr="004539D1">
        <w:rPr>
          <w:rFonts w:cstheme="minorHAnsi"/>
          <w:b/>
          <w:bCs/>
          <w:lang w:val="en-GB"/>
        </w:rPr>
        <w:t>Figure NPALB-8</w:t>
      </w:r>
      <w:r w:rsidRPr="004539D1">
        <w:rPr>
          <w:rFonts w:cstheme="minorHAnsi"/>
          <w:lang w:val="en-GB"/>
        </w:rPr>
        <w:t>. Future projection results under a randomly F (2005-2019) scenario. Solid lines indicate mean values, and uncertainty ranges indicate 60% and 95% confidence intervals, and the dashed line is the reference point, respectively. (A) Annual changes in spawning biomass; (B) Interannual changes in fishing mortality (F</w:t>
      </w:r>
      <w:r w:rsidRPr="004539D1">
        <w:rPr>
          <w:rFonts w:cstheme="minorHAnsi"/>
          <w:vertAlign w:val="subscript"/>
          <w:lang w:val="en-GB"/>
        </w:rPr>
        <w:t>%SPR</w:t>
      </w:r>
      <w:r w:rsidRPr="004539D1">
        <w:rPr>
          <w:rFonts w:cstheme="minorHAnsi"/>
          <w:lang w:val="en-GB"/>
        </w:rPr>
        <w:t xml:space="preserve">); (C) Projected ratios to the limit reference point thresholds; and (D) Projected ratios to management targets for the total biomass (Figure ES10 from SC19-SA-WP-08). </w:t>
      </w:r>
    </w:p>
    <w:p w14:paraId="3AE17F80" w14:textId="77777777" w:rsidR="005A39D1" w:rsidRPr="004539D1" w:rsidRDefault="005A39D1" w:rsidP="005A39D1">
      <w:pPr>
        <w:pStyle w:val="Heading5"/>
        <w:keepNext w:val="0"/>
        <w:keepLines w:val="0"/>
        <w:widowControl w:val="0"/>
        <w:adjustRightInd w:val="0"/>
        <w:snapToGrid w:val="0"/>
        <w:spacing w:before="0"/>
        <w:rPr>
          <w:rFonts w:asciiTheme="minorHAnsi" w:hAnsiTheme="minorHAnsi" w:cstheme="minorHAnsi"/>
        </w:rPr>
      </w:pPr>
    </w:p>
    <w:p w14:paraId="45A39554" w14:textId="77777777" w:rsidR="005A39D1" w:rsidRDefault="005A39D1" w:rsidP="005A39D1">
      <w:pPr>
        <w:rPr>
          <w:rFonts w:cstheme="minorHAnsi"/>
        </w:rPr>
      </w:pPr>
    </w:p>
    <w:p w14:paraId="7FFFF2F4" w14:textId="77777777" w:rsidR="004539D1" w:rsidRDefault="004539D1" w:rsidP="005A39D1">
      <w:pPr>
        <w:rPr>
          <w:rFonts w:cstheme="minorHAnsi"/>
        </w:rPr>
      </w:pPr>
    </w:p>
    <w:p w14:paraId="59FCCFEC" w14:textId="77777777" w:rsidR="004539D1" w:rsidRDefault="004539D1" w:rsidP="005A39D1">
      <w:pPr>
        <w:rPr>
          <w:rFonts w:cstheme="minorHAnsi"/>
        </w:rPr>
      </w:pPr>
    </w:p>
    <w:p w14:paraId="470D39E0" w14:textId="77777777" w:rsidR="004539D1" w:rsidRDefault="004539D1" w:rsidP="005A39D1">
      <w:pPr>
        <w:rPr>
          <w:rFonts w:cstheme="minorHAnsi"/>
        </w:rPr>
      </w:pPr>
    </w:p>
    <w:p w14:paraId="171D29D2" w14:textId="77777777" w:rsidR="004539D1" w:rsidRDefault="004539D1" w:rsidP="005A39D1">
      <w:pPr>
        <w:rPr>
          <w:rFonts w:cstheme="minorHAnsi"/>
        </w:rPr>
      </w:pPr>
    </w:p>
    <w:p w14:paraId="6B578D31" w14:textId="77777777" w:rsidR="004539D1" w:rsidRPr="004539D1" w:rsidRDefault="004539D1" w:rsidP="005A39D1">
      <w:pPr>
        <w:rPr>
          <w:rFonts w:cstheme="minorHAnsi"/>
        </w:rPr>
      </w:pPr>
    </w:p>
    <w:p w14:paraId="0671A099" w14:textId="21B53F20" w:rsidR="00C762FB" w:rsidRPr="004539D1" w:rsidRDefault="00C762FB" w:rsidP="00CE2779">
      <w:pPr>
        <w:pStyle w:val="Heading1"/>
        <w:adjustRightInd w:val="0"/>
        <w:snapToGrid w:val="0"/>
        <w:spacing w:before="0" w:line="240" w:lineRule="auto"/>
        <w:rPr>
          <w:rFonts w:asciiTheme="minorHAnsi" w:hAnsiTheme="minorHAnsi" w:cstheme="minorHAnsi"/>
        </w:rPr>
      </w:pPr>
      <w:bookmarkStart w:id="1" w:name="_Toc159854728"/>
      <w:r w:rsidRPr="004539D1">
        <w:rPr>
          <w:rFonts w:asciiTheme="minorHAnsi" w:hAnsiTheme="minorHAnsi" w:cstheme="minorHAnsi"/>
        </w:rPr>
        <w:t>SC16 2020 (ST</w:t>
      </w:r>
      <w:r w:rsidR="00C13471" w:rsidRPr="004539D1">
        <w:rPr>
          <w:rFonts w:asciiTheme="minorHAnsi" w:hAnsiTheme="minorHAnsi" w:cstheme="minorHAnsi"/>
        </w:rPr>
        <w:t>O</w:t>
      </w:r>
      <w:r w:rsidRPr="004539D1">
        <w:rPr>
          <w:rFonts w:asciiTheme="minorHAnsi" w:hAnsiTheme="minorHAnsi" w:cstheme="minorHAnsi"/>
        </w:rPr>
        <w:t>CK ASSESSMENT CONDUCTED)</w:t>
      </w:r>
      <w:bookmarkEnd w:id="1"/>
    </w:p>
    <w:p w14:paraId="77565418" w14:textId="77777777" w:rsidR="00C13471" w:rsidRPr="004539D1" w:rsidRDefault="00C13471" w:rsidP="00C13471">
      <w:pPr>
        <w:pStyle w:val="ListParagraph"/>
        <w:kinsoku w:val="0"/>
        <w:overflowPunct w:val="0"/>
        <w:autoSpaceDE w:val="0"/>
        <w:autoSpaceDN w:val="0"/>
        <w:adjustRightInd w:val="0"/>
        <w:snapToGrid w:val="0"/>
        <w:ind w:left="1080"/>
        <w:rPr>
          <w:rFonts w:asciiTheme="minorHAnsi" w:eastAsia="Batang" w:hAnsiTheme="minorHAnsi" w:cstheme="minorHAnsi"/>
          <w:b/>
          <w:bCs/>
          <w:lang w:eastAsia="ko-KR"/>
        </w:rPr>
      </w:pPr>
      <w:bookmarkStart w:id="2" w:name="_Hlk62653368"/>
    </w:p>
    <w:p w14:paraId="45E50F0F" w14:textId="77777777" w:rsidR="00C13471" w:rsidRPr="004539D1" w:rsidRDefault="00C13471" w:rsidP="00C13471">
      <w:pPr>
        <w:pStyle w:val="ListParagraph"/>
        <w:numPr>
          <w:ilvl w:val="2"/>
          <w:numId w:val="11"/>
        </w:numPr>
        <w:adjustRightInd w:val="0"/>
        <w:snapToGrid w:val="0"/>
        <w:contextualSpacing w:val="0"/>
        <w:rPr>
          <w:rFonts w:asciiTheme="minorHAnsi" w:eastAsia="Batang" w:hAnsiTheme="minorHAnsi" w:cstheme="minorHAnsi"/>
          <w:b/>
          <w:bCs/>
          <w:lang w:eastAsia="ko-KR"/>
        </w:rPr>
      </w:pPr>
      <w:r w:rsidRPr="004539D1">
        <w:rPr>
          <w:rFonts w:asciiTheme="minorHAnsi" w:eastAsia="Batang" w:hAnsiTheme="minorHAnsi" w:cstheme="minorHAnsi"/>
          <w:b/>
          <w:bCs/>
          <w:lang w:eastAsia="ko-KR"/>
        </w:rPr>
        <w:t xml:space="preserve">Review of the 2020 North Pacific albacore tock assessment </w:t>
      </w:r>
    </w:p>
    <w:p w14:paraId="7F7F937A" w14:textId="77777777" w:rsidR="00C13471" w:rsidRPr="004539D1" w:rsidRDefault="00C13471" w:rsidP="00C13471">
      <w:pPr>
        <w:pStyle w:val="ListParagraph"/>
        <w:adjustRightInd w:val="0"/>
        <w:snapToGrid w:val="0"/>
        <w:rPr>
          <w:rFonts w:asciiTheme="minorHAnsi" w:eastAsia="Batang" w:hAnsiTheme="minorHAnsi" w:cstheme="minorHAnsi"/>
          <w:b/>
          <w:bCs/>
          <w:lang w:eastAsia="ko-KR"/>
        </w:rPr>
      </w:pPr>
    </w:p>
    <w:p w14:paraId="5C49B823" w14:textId="45529015" w:rsidR="00C13471" w:rsidRPr="004539D1" w:rsidRDefault="00C13471" w:rsidP="00C13471">
      <w:pPr>
        <w:pStyle w:val="WCPFC"/>
        <w:adjustRightInd w:val="0"/>
        <w:spacing w:after="0"/>
        <w:ind w:left="0" w:firstLine="0"/>
        <w:rPr>
          <w:rFonts w:asciiTheme="minorHAnsi" w:hAnsiTheme="minorHAnsi" w:cstheme="minorHAnsi"/>
        </w:rPr>
      </w:pPr>
      <w:r w:rsidRPr="004539D1">
        <w:rPr>
          <w:rFonts w:asciiTheme="minorHAnsi" w:hAnsiTheme="minorHAnsi" w:cstheme="minorHAnsi"/>
        </w:rPr>
        <w:t xml:space="preserve">S. Teo (USA)presented SC16-SA-WP-05 </w:t>
      </w:r>
      <w:r w:rsidRPr="004539D1">
        <w:rPr>
          <w:rFonts w:asciiTheme="minorHAnsi" w:hAnsiTheme="minorHAnsi" w:cstheme="minorHAnsi"/>
          <w:i/>
        </w:rPr>
        <w:t>Stock Assessment of Albacore Tuna in the North Pacific Ocean in 2020</w:t>
      </w:r>
      <w:r w:rsidRPr="004539D1">
        <w:rPr>
          <w:rFonts w:asciiTheme="minorHAnsi" w:hAnsiTheme="minorHAnsi" w:cstheme="minorHAnsi"/>
        </w:rPr>
        <w:t xml:space="preserve">, which detailed the data, biological parameters, model, model diagnostics and sensitivities, and results of the North Pacific albacore stock assessment conducted by ISC’s Albacore Working Group in 2020. </w:t>
      </w:r>
    </w:p>
    <w:p w14:paraId="132A0AA2" w14:textId="77777777" w:rsidR="00C13471" w:rsidRPr="004539D1" w:rsidRDefault="00C13471" w:rsidP="00C13471">
      <w:pPr>
        <w:pStyle w:val="WCPFC"/>
        <w:numPr>
          <w:ilvl w:val="0"/>
          <w:numId w:val="0"/>
        </w:numPr>
        <w:adjustRightInd w:val="0"/>
        <w:spacing w:after="0"/>
        <w:rPr>
          <w:rFonts w:asciiTheme="minorHAnsi" w:hAnsiTheme="minorHAnsi" w:cstheme="minorHAnsi"/>
        </w:rPr>
      </w:pPr>
    </w:p>
    <w:p w14:paraId="4EE69C40" w14:textId="0B6E53AB" w:rsidR="00C13471" w:rsidRPr="004539D1" w:rsidRDefault="00C13471" w:rsidP="00C13471">
      <w:pPr>
        <w:pStyle w:val="WCPFC"/>
        <w:adjustRightInd w:val="0"/>
        <w:spacing w:after="0"/>
        <w:ind w:left="0" w:firstLine="0"/>
        <w:rPr>
          <w:rFonts w:asciiTheme="minorHAnsi" w:hAnsiTheme="minorHAnsi" w:cstheme="minorHAnsi"/>
        </w:rPr>
      </w:pPr>
      <w:r w:rsidRPr="004539D1">
        <w:rPr>
          <w:rFonts w:asciiTheme="minorHAnsi" w:hAnsiTheme="minorHAnsi" w:cstheme="minorHAnsi"/>
        </w:rPr>
        <w:t xml:space="preserve">All available fishery data for North Pacific albacore for the 1994-2018 period were used in the stock assessment. </w:t>
      </w:r>
      <w:r w:rsidRPr="004539D1">
        <w:rPr>
          <w:rFonts w:asciiTheme="minorHAnsi" w:hAnsiTheme="minorHAnsi" w:cstheme="minorHAnsi"/>
          <w:bCs/>
        </w:rPr>
        <w:t>C</w:t>
      </w:r>
      <w:r w:rsidRPr="004539D1">
        <w:rPr>
          <w:rFonts w:asciiTheme="minorHAnsi" w:hAnsiTheme="minorHAnsi" w:cstheme="minorHAnsi"/>
        </w:rPr>
        <w:t xml:space="preserve">atch and size composition data were compiled and assigned to 35 fisheries defined for this assessment (based on flag, gear, area, and season). The same abundance index as the 2017 assessment was fitted in the base case model. The North Pacific albacore stock was assessed using a length-based, age-, and sex-structured Stock Synthesis (SS Version 3.30.14.08) model over the 1994-2018 period and it was assumed that there is instantaneous mixing of albacore on a quarterly basis. Biological parameters like growth, natural morality (M) and stock-recruitment steepness, were the same as for the 2017 assessment. All fisheries were assumed to have dome-shaped length selectivity curves, and age-based selectivity for ages 1-5 were also estimated for surface fisheries (troll and pole-and-line) to address age-based changes in juvenile albacore availability and movement. Selectivity curves were also assumed to vary over time for several fleets. </w:t>
      </w:r>
    </w:p>
    <w:p w14:paraId="00053452" w14:textId="77777777" w:rsidR="00C13471" w:rsidRPr="004539D1" w:rsidRDefault="00C13471" w:rsidP="00C13471">
      <w:pPr>
        <w:pStyle w:val="WCPFC"/>
        <w:numPr>
          <w:ilvl w:val="0"/>
          <w:numId w:val="0"/>
        </w:numPr>
        <w:adjustRightInd w:val="0"/>
        <w:spacing w:after="0"/>
        <w:rPr>
          <w:rFonts w:asciiTheme="minorHAnsi" w:hAnsiTheme="minorHAnsi" w:cstheme="minorHAnsi"/>
        </w:rPr>
      </w:pPr>
    </w:p>
    <w:p w14:paraId="62B4E4EF" w14:textId="77777777" w:rsidR="00C13471" w:rsidRPr="004539D1" w:rsidRDefault="00C13471" w:rsidP="00C13471">
      <w:pPr>
        <w:pStyle w:val="WCPFC"/>
        <w:adjustRightInd w:val="0"/>
        <w:spacing w:after="0"/>
        <w:ind w:left="0" w:firstLine="0"/>
        <w:rPr>
          <w:rFonts w:asciiTheme="minorHAnsi" w:hAnsiTheme="minorHAnsi" w:cstheme="minorHAnsi"/>
        </w:rPr>
      </w:pPr>
      <w:r w:rsidRPr="004539D1">
        <w:rPr>
          <w:rFonts w:asciiTheme="minorHAnsi" w:hAnsiTheme="minorHAnsi" w:cstheme="minorHAnsi"/>
        </w:rPr>
        <w:t xml:space="preserve">Maximum likelihood estimates of model parameters, derived outputs, and their uncertainties from the base case model were used to characterize stock status. Based on model diagnostics, the ALBWG concluded that the base case model was able to estimate the stock production function and the effect of fishing on the abundance of the north Pacific albacore stock. Due to the moderate exploitation levels relative to stock productivity, the production function was weakly informative about north Pacific albacore stock size, resulting in asymmetric uncertainty in the stock’s absolute scale, with more uncertainty in the upper limit of the stock than the lower limit. It is important to note that the primary aim of estimating the female SSB in this assessment was to determine whether the estimated SSB was lower than the limit reference point (i.e., determine whether the stock is in an overfished condition). Since the lower bound is better defined, it adds confidence to the evaluation of stock condition relative to the limit reference </w:t>
      </w:r>
      <w:proofErr w:type="spellStart"/>
      <w:proofErr w:type="gramStart"/>
      <w:r w:rsidRPr="004539D1">
        <w:rPr>
          <w:rFonts w:asciiTheme="minorHAnsi" w:hAnsiTheme="minorHAnsi" w:cstheme="minorHAnsi"/>
        </w:rPr>
        <w:t>point.Several</w:t>
      </w:r>
      <w:proofErr w:type="spellEnd"/>
      <w:proofErr w:type="gramEnd"/>
      <w:r w:rsidRPr="004539D1">
        <w:rPr>
          <w:rFonts w:asciiTheme="minorHAnsi" w:hAnsiTheme="minorHAnsi" w:cstheme="minorHAnsi"/>
        </w:rPr>
        <w:t xml:space="preserve"> sensitivity analyses were conducted to evaluate model performance or the range of uncertainty resulting from changes in model parameters, including natural mortality, stock-recruitment steepness, growth, starting year, selectivity patterns, and weighting of size composition data.</w:t>
      </w:r>
    </w:p>
    <w:p w14:paraId="50BF990A" w14:textId="77777777" w:rsidR="00C13471" w:rsidRPr="004539D1" w:rsidRDefault="00C13471" w:rsidP="00E76266">
      <w:pPr>
        <w:pStyle w:val="WCPFC"/>
        <w:numPr>
          <w:ilvl w:val="0"/>
          <w:numId w:val="0"/>
        </w:numPr>
        <w:adjustRightInd w:val="0"/>
        <w:spacing w:after="0"/>
        <w:rPr>
          <w:rFonts w:asciiTheme="minorHAnsi" w:hAnsiTheme="minorHAnsi" w:cstheme="minorHAnsi"/>
        </w:rPr>
      </w:pPr>
    </w:p>
    <w:p w14:paraId="1CCE5212" w14:textId="1E6A9F06" w:rsidR="00C13471" w:rsidRPr="004539D1" w:rsidRDefault="00C13471" w:rsidP="008F7066">
      <w:pPr>
        <w:pStyle w:val="ListParagraph"/>
        <w:numPr>
          <w:ilvl w:val="2"/>
          <w:numId w:val="11"/>
        </w:numPr>
        <w:adjustRightInd w:val="0"/>
        <w:snapToGrid w:val="0"/>
        <w:contextualSpacing w:val="0"/>
        <w:rPr>
          <w:rFonts w:asciiTheme="minorHAnsi" w:eastAsia="Batang" w:hAnsiTheme="minorHAnsi" w:cstheme="minorHAnsi"/>
          <w:b/>
          <w:bCs/>
          <w:lang w:eastAsia="ko-KR"/>
        </w:rPr>
      </w:pPr>
      <w:r w:rsidRPr="004539D1">
        <w:rPr>
          <w:rFonts w:asciiTheme="minorHAnsi" w:eastAsia="Batang" w:hAnsiTheme="minorHAnsi" w:cstheme="minorHAnsi"/>
          <w:b/>
          <w:bCs/>
          <w:lang w:eastAsia="ko-KR"/>
        </w:rPr>
        <w:t xml:space="preserve">Stock status and </w:t>
      </w:r>
      <w:proofErr w:type="gramStart"/>
      <w:r w:rsidRPr="004539D1">
        <w:rPr>
          <w:rFonts w:asciiTheme="minorHAnsi" w:eastAsia="Batang" w:hAnsiTheme="minorHAnsi" w:cstheme="minorHAnsi"/>
          <w:b/>
          <w:bCs/>
          <w:lang w:eastAsia="ko-KR"/>
        </w:rPr>
        <w:t>trends</w:t>
      </w:r>
      <w:proofErr w:type="gramEnd"/>
      <w:r w:rsidRPr="004539D1">
        <w:rPr>
          <w:rFonts w:asciiTheme="minorHAnsi" w:eastAsia="Batang" w:hAnsiTheme="minorHAnsi" w:cstheme="minorHAnsi"/>
          <w:b/>
          <w:bCs/>
          <w:lang w:eastAsia="ko-KR"/>
        </w:rPr>
        <w:t xml:space="preserve"> </w:t>
      </w:r>
    </w:p>
    <w:p w14:paraId="322F34E3" w14:textId="77777777" w:rsidR="00C13471" w:rsidRPr="004539D1" w:rsidRDefault="00C13471" w:rsidP="00E76266">
      <w:pPr>
        <w:pStyle w:val="ListParagraph"/>
        <w:adjustRightInd w:val="0"/>
        <w:snapToGrid w:val="0"/>
        <w:ind w:left="0"/>
        <w:rPr>
          <w:rFonts w:asciiTheme="minorHAnsi" w:eastAsia="Batang" w:hAnsiTheme="minorHAnsi" w:cstheme="minorHAnsi"/>
          <w:lang w:eastAsia="ko-KR"/>
        </w:rPr>
      </w:pPr>
    </w:p>
    <w:p w14:paraId="580CB2B8" w14:textId="77777777" w:rsidR="00C13471" w:rsidRPr="004539D1" w:rsidRDefault="00C13471" w:rsidP="008F7066">
      <w:pPr>
        <w:pStyle w:val="WCPFC"/>
        <w:adjustRightInd w:val="0"/>
        <w:spacing w:after="0"/>
        <w:ind w:left="0" w:firstLine="0"/>
        <w:rPr>
          <w:rFonts w:asciiTheme="minorHAnsi" w:hAnsiTheme="minorHAnsi" w:cstheme="minorHAnsi"/>
          <w:bCs/>
          <w:lang w:val="en-AU"/>
        </w:rPr>
      </w:pPr>
      <w:r w:rsidRPr="004539D1">
        <w:rPr>
          <w:rFonts w:asciiTheme="minorHAnsi" w:hAnsiTheme="minorHAnsi" w:cstheme="minorHAnsi"/>
          <w:bCs/>
          <w:lang w:val="en-AU"/>
        </w:rPr>
        <w:t>SC16 noted that the ISC provided the following conclusions on the stock status of North Pacific albacore:</w:t>
      </w:r>
    </w:p>
    <w:p w14:paraId="7A3116E8" w14:textId="77777777" w:rsidR="00C13471" w:rsidRPr="004539D1" w:rsidRDefault="00C13471" w:rsidP="008F7066">
      <w:pPr>
        <w:autoSpaceDE w:val="0"/>
        <w:autoSpaceDN w:val="0"/>
        <w:adjustRightInd w:val="0"/>
        <w:snapToGrid w:val="0"/>
        <w:spacing w:after="0" w:line="240" w:lineRule="auto"/>
        <w:jc w:val="both"/>
        <w:rPr>
          <w:rFonts w:cstheme="minorHAnsi"/>
          <w:b/>
          <w:lang w:val="en-AU"/>
        </w:rPr>
      </w:pPr>
    </w:p>
    <w:p w14:paraId="4848A8DC" w14:textId="77777777" w:rsidR="00C13471" w:rsidRPr="004539D1" w:rsidRDefault="00C13471" w:rsidP="008F7066">
      <w:pPr>
        <w:autoSpaceDE w:val="0"/>
        <w:autoSpaceDN w:val="0"/>
        <w:adjustRightInd w:val="0"/>
        <w:snapToGrid w:val="0"/>
        <w:spacing w:after="0" w:line="240" w:lineRule="auto"/>
        <w:ind w:left="720"/>
        <w:jc w:val="both"/>
        <w:rPr>
          <w:rFonts w:cstheme="minorHAnsi"/>
          <w:b/>
          <w:lang w:val="en-AU"/>
        </w:rPr>
      </w:pPr>
      <w:r w:rsidRPr="004539D1">
        <w:rPr>
          <w:rFonts w:cstheme="minorHAnsi"/>
        </w:rPr>
        <w:t>The Northern Committee (NC) of the Western and Central Pacific Fisheries Commission (WCPFC), which manages this stock together with the Inter American Tropical Tuna Commission (IATTC), adopted a biomass-based limit reference point (LRP) in 2014 (https://www.wcpfc.int/harvest-strategy) of 20% of the current spawning stock biomass when F=0 (20%SSB</w:t>
      </w:r>
      <w:r w:rsidRPr="004539D1">
        <w:rPr>
          <w:rFonts w:cstheme="minorHAnsi"/>
          <w:vertAlign w:val="subscript"/>
        </w:rPr>
        <w:t>current, F=0</w:t>
      </w:r>
      <w:r w:rsidRPr="004539D1">
        <w:rPr>
          <w:rFonts w:cstheme="minorHAnsi"/>
        </w:rPr>
        <w:t>). The 20%SSB</w:t>
      </w:r>
      <w:r w:rsidRPr="004539D1">
        <w:rPr>
          <w:rFonts w:cstheme="minorHAnsi"/>
          <w:vertAlign w:val="subscript"/>
        </w:rPr>
        <w:t>current, F=0</w:t>
      </w:r>
      <w:r w:rsidRPr="004539D1">
        <w:rPr>
          <w:rFonts w:cstheme="minorHAnsi"/>
        </w:rPr>
        <w:t xml:space="preserve"> LRP is based on dynamic biomass and fluctuates depending on changes in recruitment. For north Pacific albacore tuna, this LRP is calculated as 20% of the unfished dynamic female spawning biomass in the terminal year of this assessment (i.e., 2018) (https://www.wcpfc.int/meetings/nc13).  However, neither the IATTC nor the WCFPC have adopted F-based limit reference points for the north Pacific albacore stock.</w:t>
      </w:r>
    </w:p>
    <w:p w14:paraId="2682CD06" w14:textId="77777777" w:rsidR="00C13471" w:rsidRPr="004539D1" w:rsidRDefault="00C13471" w:rsidP="008F7066">
      <w:pPr>
        <w:autoSpaceDE w:val="0"/>
        <w:autoSpaceDN w:val="0"/>
        <w:adjustRightInd w:val="0"/>
        <w:snapToGrid w:val="0"/>
        <w:spacing w:after="0" w:line="240" w:lineRule="auto"/>
        <w:ind w:left="720"/>
        <w:jc w:val="both"/>
        <w:rPr>
          <w:rFonts w:cstheme="minorHAnsi"/>
          <w:b/>
          <w:lang w:val="en-AU"/>
        </w:rPr>
      </w:pPr>
    </w:p>
    <w:p w14:paraId="03003580" w14:textId="77777777" w:rsidR="00C13471" w:rsidRPr="004539D1" w:rsidRDefault="00C13471" w:rsidP="008F7066">
      <w:pPr>
        <w:autoSpaceDE w:val="0"/>
        <w:autoSpaceDN w:val="0"/>
        <w:adjustRightInd w:val="0"/>
        <w:snapToGrid w:val="0"/>
        <w:spacing w:after="0" w:line="240" w:lineRule="auto"/>
        <w:ind w:left="720"/>
        <w:jc w:val="both"/>
        <w:rPr>
          <w:rFonts w:cstheme="minorHAnsi"/>
          <w:b/>
          <w:lang w:val="en-AU"/>
        </w:rPr>
      </w:pPr>
      <w:r w:rsidRPr="004539D1">
        <w:rPr>
          <w:rFonts w:cstheme="minorHAnsi"/>
        </w:rPr>
        <w:t>Stock status is depicted in relation to the limit reference point (LRP; 20%SSB</w:t>
      </w:r>
      <w:r w:rsidRPr="004539D1">
        <w:rPr>
          <w:rFonts w:cstheme="minorHAnsi"/>
          <w:vertAlign w:val="subscript"/>
        </w:rPr>
        <w:t>current, F=0</w:t>
      </w:r>
      <w:r w:rsidRPr="004539D1">
        <w:rPr>
          <w:rFonts w:cstheme="minorHAnsi"/>
        </w:rPr>
        <w:t>) for the stock and the equivalent fishing intensity (F</w:t>
      </w:r>
      <w:r w:rsidRPr="004539D1">
        <w:rPr>
          <w:rFonts w:cstheme="minorHAnsi"/>
          <w:vertAlign w:val="subscript"/>
        </w:rPr>
        <w:t>20%</w:t>
      </w:r>
      <w:r w:rsidRPr="004539D1">
        <w:rPr>
          <w:rFonts w:cstheme="minorHAnsi"/>
        </w:rPr>
        <w:t>; calculated as 1-SPR</w:t>
      </w:r>
      <w:r w:rsidRPr="004539D1">
        <w:rPr>
          <w:rFonts w:cstheme="minorHAnsi"/>
          <w:vertAlign w:val="subscript"/>
        </w:rPr>
        <w:t>20%</w:t>
      </w:r>
      <w:r w:rsidRPr="004539D1">
        <w:rPr>
          <w:rFonts w:cstheme="minorHAnsi"/>
        </w:rPr>
        <w:t>) (Figure NPALB-1). Fishing intensity (F, calculated as 1-SPR) is a measure of fishing mortality expressed as the decline in the proportion of the spawning biomass produced by each recruit relative to the unfished state. For example, a fishing intensity of 0.8 will result in a SSB of approximately 20% of SSB</w:t>
      </w:r>
      <w:r w:rsidRPr="004539D1">
        <w:rPr>
          <w:rFonts w:cstheme="minorHAnsi"/>
          <w:vertAlign w:val="subscript"/>
        </w:rPr>
        <w:t>0</w:t>
      </w:r>
      <w:r w:rsidRPr="004539D1">
        <w:rPr>
          <w:rFonts w:cstheme="minorHAnsi"/>
        </w:rPr>
        <w:t xml:space="preserve"> over the long run. Fishing intensity is considered a proxy of fishing mortality.</w:t>
      </w:r>
    </w:p>
    <w:p w14:paraId="3A112C91" w14:textId="77777777" w:rsidR="00C13471" w:rsidRPr="004539D1" w:rsidRDefault="00C13471" w:rsidP="008F7066">
      <w:pPr>
        <w:tabs>
          <w:tab w:val="left" w:pos="360"/>
          <w:tab w:val="left" w:pos="720"/>
          <w:tab w:val="left" w:pos="1440"/>
        </w:tabs>
        <w:autoSpaceDE w:val="0"/>
        <w:autoSpaceDN w:val="0"/>
        <w:adjustRightInd w:val="0"/>
        <w:snapToGrid w:val="0"/>
        <w:spacing w:after="0" w:line="240" w:lineRule="auto"/>
        <w:ind w:left="720"/>
        <w:jc w:val="both"/>
        <w:rPr>
          <w:rFonts w:cstheme="minorHAnsi"/>
        </w:rPr>
      </w:pPr>
    </w:p>
    <w:p w14:paraId="3FE791F1" w14:textId="77777777" w:rsidR="00C13471" w:rsidRPr="004539D1" w:rsidRDefault="00C13471" w:rsidP="008F7066">
      <w:pPr>
        <w:tabs>
          <w:tab w:val="left" w:pos="360"/>
          <w:tab w:val="left" w:pos="720"/>
          <w:tab w:val="left" w:pos="1440"/>
        </w:tabs>
        <w:autoSpaceDE w:val="0"/>
        <w:autoSpaceDN w:val="0"/>
        <w:adjustRightInd w:val="0"/>
        <w:snapToGrid w:val="0"/>
        <w:spacing w:after="0" w:line="240" w:lineRule="auto"/>
        <w:ind w:left="720"/>
        <w:jc w:val="both"/>
        <w:rPr>
          <w:rFonts w:cstheme="minorHAnsi"/>
        </w:rPr>
      </w:pPr>
      <w:r w:rsidRPr="004539D1">
        <w:rPr>
          <w:rFonts w:cstheme="minorHAnsi"/>
        </w:rPr>
        <w:t>The Kobe plot shows that the estimated female SSB has never fallen below the LRP since 1994, albeit with large uncertainty in the terminal year (2018) estimates. Even when alternative hypotheses about key model uncertainties such as growth were evaluated, the point estimate of female SSB in 2018 (SSB</w:t>
      </w:r>
      <w:r w:rsidRPr="004539D1">
        <w:rPr>
          <w:rFonts w:cstheme="minorHAnsi"/>
          <w:vertAlign w:val="subscript"/>
        </w:rPr>
        <w:t>2018</w:t>
      </w:r>
      <w:r w:rsidRPr="004539D1">
        <w:rPr>
          <w:rFonts w:cstheme="minorHAnsi"/>
        </w:rPr>
        <w:t>) did not fall below the LRP, although the risk increases with this more extreme assumption (Figure NPALB-1). The SSB</w:t>
      </w:r>
      <w:r w:rsidRPr="004539D1">
        <w:rPr>
          <w:rFonts w:cstheme="minorHAnsi"/>
          <w:vertAlign w:val="subscript"/>
        </w:rPr>
        <w:t>2018</w:t>
      </w:r>
      <w:r w:rsidRPr="004539D1">
        <w:rPr>
          <w:rFonts w:cstheme="minorHAnsi"/>
        </w:rPr>
        <w:t xml:space="preserve"> was estimated to be 58,858 t (95% CI: 27,751 – 89,966 t) and 2.30 (95% CI: 1.49 – 3.11) times greater than the estimated LRP threshold of 25,573 t (95% CI: 19,150 – 31,997 t) (Table NPALB-1). Current fishing intensity, F</w:t>
      </w:r>
      <w:r w:rsidRPr="004539D1">
        <w:rPr>
          <w:rFonts w:cstheme="minorHAnsi"/>
          <w:vertAlign w:val="subscript"/>
        </w:rPr>
        <w:t>2015-2017</w:t>
      </w:r>
      <w:r w:rsidRPr="004539D1">
        <w:rPr>
          <w:rFonts w:cstheme="minorHAnsi"/>
        </w:rPr>
        <w:t xml:space="preserve"> (0.50; 95% CI: 0.36 – 0.64; calculated as 1- SPR</w:t>
      </w:r>
      <w:r w:rsidRPr="004539D1">
        <w:rPr>
          <w:rFonts w:cstheme="minorHAnsi"/>
          <w:vertAlign w:val="subscript"/>
        </w:rPr>
        <w:t>2015-2017</w:t>
      </w:r>
      <w:proofErr w:type="gramStart"/>
      <w:r w:rsidRPr="004539D1">
        <w:rPr>
          <w:rFonts w:cstheme="minorHAnsi"/>
        </w:rPr>
        <w:t>) ,</w:t>
      </w:r>
      <w:proofErr w:type="gramEnd"/>
      <w:r w:rsidRPr="004539D1">
        <w:rPr>
          <w:rFonts w:cstheme="minorHAnsi"/>
        </w:rPr>
        <w:t xml:space="preserve"> was at or lower than all seven potential F-based reference points identified for the north Pacific albacore stock (Table NPALB-1).  </w:t>
      </w:r>
    </w:p>
    <w:p w14:paraId="31D69E2C" w14:textId="77777777" w:rsidR="00C13471" w:rsidRPr="004539D1" w:rsidRDefault="00C13471" w:rsidP="008F7066">
      <w:pPr>
        <w:tabs>
          <w:tab w:val="left" w:pos="360"/>
          <w:tab w:val="left" w:pos="720"/>
          <w:tab w:val="left" w:pos="1440"/>
        </w:tabs>
        <w:adjustRightInd w:val="0"/>
        <w:snapToGrid w:val="0"/>
        <w:spacing w:after="0" w:line="240" w:lineRule="auto"/>
        <w:jc w:val="both"/>
        <w:rPr>
          <w:rFonts w:cstheme="minorHAnsi"/>
        </w:rPr>
      </w:pPr>
    </w:p>
    <w:p w14:paraId="117ECCBD" w14:textId="77777777" w:rsidR="00C13471" w:rsidRPr="004539D1" w:rsidRDefault="00C13471" w:rsidP="00C13471">
      <w:pPr>
        <w:pStyle w:val="WCPFC"/>
        <w:adjustRightInd w:val="0"/>
        <w:spacing w:after="0"/>
        <w:ind w:left="0" w:firstLine="0"/>
        <w:rPr>
          <w:rFonts w:asciiTheme="minorHAnsi" w:hAnsiTheme="minorHAnsi" w:cstheme="minorHAnsi"/>
          <w:bCs/>
        </w:rPr>
      </w:pPr>
      <w:r w:rsidRPr="004539D1">
        <w:rPr>
          <w:rFonts w:asciiTheme="minorHAnsi" w:hAnsiTheme="minorHAnsi" w:cstheme="minorHAnsi"/>
          <w:bCs/>
        </w:rPr>
        <w:t>SC16 noted the following stock status from ISC:</w:t>
      </w:r>
    </w:p>
    <w:p w14:paraId="48811E77" w14:textId="77777777" w:rsidR="00C13471" w:rsidRPr="004539D1" w:rsidRDefault="00C13471" w:rsidP="008F7066">
      <w:pPr>
        <w:adjustRightInd w:val="0"/>
        <w:snapToGrid w:val="0"/>
        <w:spacing w:after="0" w:line="240" w:lineRule="auto"/>
        <w:jc w:val="both"/>
        <w:rPr>
          <w:rFonts w:cstheme="minorHAnsi"/>
          <w:b/>
        </w:rPr>
      </w:pPr>
    </w:p>
    <w:p w14:paraId="1C7A90BA" w14:textId="77777777" w:rsidR="00C13471" w:rsidRPr="004539D1" w:rsidRDefault="00C13471" w:rsidP="008F7066">
      <w:pPr>
        <w:tabs>
          <w:tab w:val="left" w:pos="360"/>
          <w:tab w:val="left" w:pos="720"/>
          <w:tab w:val="left" w:pos="1440"/>
        </w:tabs>
        <w:adjustRightInd w:val="0"/>
        <w:snapToGrid w:val="0"/>
        <w:spacing w:after="0" w:line="240" w:lineRule="auto"/>
        <w:ind w:left="720"/>
        <w:jc w:val="both"/>
        <w:rPr>
          <w:rFonts w:cstheme="minorHAnsi"/>
        </w:rPr>
      </w:pPr>
      <w:r w:rsidRPr="004539D1">
        <w:rPr>
          <w:rFonts w:cstheme="minorHAnsi"/>
        </w:rPr>
        <w:t>Based on these findings, the following information on the status of the north Pacific albacore stock is provided:</w:t>
      </w:r>
    </w:p>
    <w:p w14:paraId="250EECB7" w14:textId="77777777" w:rsidR="00C13471" w:rsidRPr="004539D1" w:rsidRDefault="00C13471" w:rsidP="008F7066">
      <w:pPr>
        <w:tabs>
          <w:tab w:val="left" w:pos="360"/>
          <w:tab w:val="left" w:pos="720"/>
          <w:tab w:val="left" w:pos="1440"/>
        </w:tabs>
        <w:adjustRightInd w:val="0"/>
        <w:snapToGrid w:val="0"/>
        <w:spacing w:after="0" w:line="240" w:lineRule="auto"/>
        <w:ind w:left="720"/>
        <w:jc w:val="both"/>
        <w:rPr>
          <w:rFonts w:cstheme="minorHAnsi"/>
        </w:rPr>
      </w:pPr>
    </w:p>
    <w:p w14:paraId="489BE459" w14:textId="77777777" w:rsidR="00C13471" w:rsidRPr="004539D1" w:rsidRDefault="00C13471" w:rsidP="00C13471">
      <w:pPr>
        <w:pStyle w:val="ListParagraph"/>
        <w:numPr>
          <w:ilvl w:val="0"/>
          <w:numId w:val="9"/>
        </w:numPr>
        <w:adjustRightInd w:val="0"/>
        <w:snapToGrid w:val="0"/>
        <w:ind w:left="1080"/>
        <w:contextualSpacing w:val="0"/>
        <w:rPr>
          <w:rFonts w:asciiTheme="minorHAnsi" w:hAnsiTheme="minorHAnsi" w:cstheme="minorHAnsi"/>
          <w:bCs/>
        </w:rPr>
      </w:pPr>
      <w:r w:rsidRPr="004539D1">
        <w:rPr>
          <w:rFonts w:asciiTheme="minorHAnsi" w:hAnsiTheme="minorHAnsi" w:cstheme="minorHAnsi"/>
          <w:bCs/>
        </w:rPr>
        <w:t>The stock is likely not overfished relative to the limit reference point adopted by the Western and Central Pacific Fisheries Commission (20%SSB</w:t>
      </w:r>
      <w:r w:rsidRPr="004539D1">
        <w:rPr>
          <w:rFonts w:asciiTheme="minorHAnsi" w:hAnsiTheme="minorHAnsi" w:cstheme="minorHAnsi"/>
          <w:bCs/>
          <w:vertAlign w:val="subscript"/>
        </w:rPr>
        <w:t>current, F=0</w:t>
      </w:r>
      <w:r w:rsidRPr="004539D1">
        <w:rPr>
          <w:rFonts w:asciiTheme="minorHAnsi" w:hAnsiTheme="minorHAnsi" w:cstheme="minorHAnsi"/>
          <w:bCs/>
        </w:rPr>
        <w:t xml:space="preserve">), and </w:t>
      </w:r>
    </w:p>
    <w:p w14:paraId="1F940932" w14:textId="77777777" w:rsidR="00C13471" w:rsidRPr="004539D1" w:rsidRDefault="00C13471" w:rsidP="00C13471">
      <w:pPr>
        <w:pStyle w:val="ListParagraph"/>
        <w:adjustRightInd w:val="0"/>
        <w:snapToGrid w:val="0"/>
        <w:ind w:left="1080"/>
        <w:rPr>
          <w:rFonts w:asciiTheme="minorHAnsi" w:hAnsiTheme="minorHAnsi" w:cstheme="minorHAnsi"/>
          <w:bCs/>
        </w:rPr>
      </w:pPr>
    </w:p>
    <w:p w14:paraId="0D3174FF" w14:textId="77777777" w:rsidR="00C13471" w:rsidRPr="004539D1" w:rsidRDefault="00C13471" w:rsidP="00C13471">
      <w:pPr>
        <w:pStyle w:val="ListParagraph"/>
        <w:numPr>
          <w:ilvl w:val="0"/>
          <w:numId w:val="9"/>
        </w:numPr>
        <w:adjustRightInd w:val="0"/>
        <w:snapToGrid w:val="0"/>
        <w:ind w:left="1080"/>
        <w:contextualSpacing w:val="0"/>
        <w:rPr>
          <w:rFonts w:asciiTheme="minorHAnsi" w:hAnsiTheme="minorHAnsi" w:cstheme="minorHAnsi"/>
          <w:bCs/>
        </w:rPr>
      </w:pPr>
      <w:r w:rsidRPr="004539D1">
        <w:rPr>
          <w:rFonts w:asciiTheme="minorHAnsi" w:hAnsiTheme="minorHAnsi" w:cstheme="minorHAnsi"/>
          <w:bCs/>
        </w:rPr>
        <w:t>No F-based reference points have been adopted to evaluate overfishing. Stock status was evaluated against seven potential reference points. Current fishing intensity (F</w:t>
      </w:r>
      <w:r w:rsidRPr="004539D1">
        <w:rPr>
          <w:rFonts w:asciiTheme="minorHAnsi" w:hAnsiTheme="minorHAnsi" w:cstheme="minorHAnsi"/>
          <w:bCs/>
          <w:vertAlign w:val="subscript"/>
        </w:rPr>
        <w:t>2015-2017</w:t>
      </w:r>
      <w:r w:rsidRPr="004539D1">
        <w:rPr>
          <w:rFonts w:asciiTheme="minorHAnsi" w:hAnsiTheme="minorHAnsi" w:cstheme="minorHAnsi"/>
          <w:bCs/>
        </w:rPr>
        <w:t>) is likely at or below all seven potential reference points (see ratios in Table NPALB-1).</w:t>
      </w:r>
    </w:p>
    <w:p w14:paraId="3D620618" w14:textId="77777777" w:rsidR="00C13471" w:rsidRPr="004539D1" w:rsidRDefault="00C13471" w:rsidP="008F7066">
      <w:pPr>
        <w:adjustRightInd w:val="0"/>
        <w:snapToGrid w:val="0"/>
        <w:spacing w:after="0" w:line="240" w:lineRule="auto"/>
        <w:jc w:val="both"/>
        <w:rPr>
          <w:rFonts w:cstheme="minorHAnsi"/>
          <w:bCs/>
          <w:color w:val="000000"/>
        </w:rPr>
      </w:pPr>
    </w:p>
    <w:p w14:paraId="7490AE0B" w14:textId="77777777" w:rsidR="00C13471" w:rsidRPr="004539D1" w:rsidRDefault="00C13471" w:rsidP="00C13471">
      <w:pPr>
        <w:pStyle w:val="ListParagraph"/>
        <w:numPr>
          <w:ilvl w:val="0"/>
          <w:numId w:val="8"/>
        </w:numPr>
        <w:adjustRightInd w:val="0"/>
        <w:snapToGrid w:val="0"/>
        <w:ind w:left="0" w:firstLine="0"/>
        <w:contextualSpacing w:val="0"/>
        <w:rPr>
          <w:rFonts w:asciiTheme="minorHAnsi" w:eastAsia="Batang" w:hAnsiTheme="minorHAnsi" w:cstheme="minorHAnsi"/>
          <w:b/>
          <w:bCs/>
          <w:lang w:eastAsia="ko-KR"/>
        </w:rPr>
      </w:pPr>
      <w:r w:rsidRPr="004539D1">
        <w:rPr>
          <w:rFonts w:asciiTheme="minorHAnsi" w:eastAsia="Batang" w:hAnsiTheme="minorHAnsi" w:cstheme="minorHAnsi"/>
          <w:b/>
          <w:bCs/>
          <w:lang w:eastAsia="ko-KR"/>
        </w:rPr>
        <w:t xml:space="preserve">Management advice and implications </w:t>
      </w:r>
    </w:p>
    <w:p w14:paraId="6D71C857" w14:textId="77777777" w:rsidR="00C13471" w:rsidRPr="004539D1" w:rsidRDefault="00C13471" w:rsidP="008F7066">
      <w:pPr>
        <w:kinsoku w:val="0"/>
        <w:overflowPunct w:val="0"/>
        <w:autoSpaceDE w:val="0"/>
        <w:autoSpaceDN w:val="0"/>
        <w:adjustRightInd w:val="0"/>
        <w:snapToGrid w:val="0"/>
        <w:spacing w:after="0" w:line="240" w:lineRule="auto"/>
        <w:jc w:val="both"/>
        <w:rPr>
          <w:rFonts w:cstheme="minorHAnsi"/>
          <w:b/>
          <w:bCs/>
          <w:lang w:eastAsia="ko-KR"/>
        </w:rPr>
      </w:pPr>
    </w:p>
    <w:p w14:paraId="411FA49F" w14:textId="77777777" w:rsidR="00C13471" w:rsidRPr="004539D1" w:rsidRDefault="00C13471" w:rsidP="00C13471">
      <w:pPr>
        <w:pStyle w:val="WCPFC"/>
        <w:adjustRightInd w:val="0"/>
        <w:spacing w:after="0"/>
        <w:ind w:left="0" w:firstLine="0"/>
        <w:rPr>
          <w:rFonts w:asciiTheme="minorHAnsi" w:eastAsia="Cambria" w:hAnsiTheme="minorHAnsi" w:cstheme="minorHAnsi"/>
          <w:bCs/>
        </w:rPr>
      </w:pPr>
      <w:r w:rsidRPr="004539D1">
        <w:rPr>
          <w:rFonts w:asciiTheme="minorHAnsi" w:hAnsiTheme="minorHAnsi" w:cstheme="minorHAnsi"/>
          <w:bCs/>
          <w:lang w:val="en-AU"/>
        </w:rPr>
        <w:t xml:space="preserve">SC16 </w:t>
      </w:r>
      <w:r w:rsidRPr="004539D1">
        <w:rPr>
          <w:rFonts w:asciiTheme="minorHAnsi" w:hAnsiTheme="minorHAnsi" w:cstheme="minorHAnsi"/>
        </w:rPr>
        <w:t>noted</w:t>
      </w:r>
      <w:r w:rsidRPr="004539D1">
        <w:rPr>
          <w:rFonts w:asciiTheme="minorHAnsi" w:hAnsiTheme="minorHAnsi" w:cstheme="minorHAnsi"/>
          <w:bCs/>
          <w:lang w:val="en-AU"/>
        </w:rPr>
        <w:t xml:space="preserve"> the following conservation information from ISC:</w:t>
      </w:r>
    </w:p>
    <w:p w14:paraId="75FB3AB4" w14:textId="77777777" w:rsidR="00C13471" w:rsidRPr="004539D1" w:rsidRDefault="00C13471" w:rsidP="008F7066">
      <w:pPr>
        <w:adjustRightInd w:val="0"/>
        <w:snapToGrid w:val="0"/>
        <w:spacing w:after="0" w:line="240" w:lineRule="auto"/>
        <w:jc w:val="both"/>
        <w:rPr>
          <w:rFonts w:eastAsia="Cambria" w:cstheme="minorHAnsi"/>
        </w:rPr>
      </w:pPr>
    </w:p>
    <w:p w14:paraId="42080E84" w14:textId="1604144D" w:rsidR="00C13471" w:rsidRPr="004539D1" w:rsidRDefault="00C13471" w:rsidP="008F7066">
      <w:pPr>
        <w:adjustRightInd w:val="0"/>
        <w:snapToGrid w:val="0"/>
        <w:spacing w:after="0" w:line="240" w:lineRule="auto"/>
        <w:ind w:left="720"/>
        <w:jc w:val="both"/>
        <w:rPr>
          <w:rFonts w:eastAsia="Cambria" w:cstheme="minorHAnsi"/>
        </w:rPr>
      </w:pPr>
      <w:r w:rsidRPr="004539D1">
        <w:rPr>
          <w:rFonts w:eastAsia="Cambria" w:cstheme="minorHAnsi"/>
        </w:rPr>
        <w:t>Two harvest scenarios were projected to evaluate impacts on future female SSB: F constant at the 2015-2017 rate over 10 years (F</w:t>
      </w:r>
      <w:r w:rsidRPr="004539D1">
        <w:rPr>
          <w:rFonts w:eastAsia="Cambria" w:cstheme="minorHAnsi"/>
          <w:vertAlign w:val="subscript"/>
        </w:rPr>
        <w:t>2015-2017</w:t>
      </w:r>
      <w:r w:rsidRPr="004539D1">
        <w:rPr>
          <w:rFonts w:eastAsia="Cambria" w:cstheme="minorHAnsi"/>
        </w:rPr>
        <w:t>)</w:t>
      </w:r>
      <w:r w:rsidR="008F7066" w:rsidRPr="004539D1">
        <w:rPr>
          <w:rFonts w:eastAsia="Cambria" w:cstheme="minorHAnsi"/>
        </w:rPr>
        <w:t xml:space="preserve"> </w:t>
      </w:r>
      <w:r w:rsidRPr="004539D1">
        <w:rPr>
          <w:rFonts w:eastAsia="Cambria" w:cstheme="minorHAnsi"/>
        </w:rPr>
        <w:t>and constant catch</w:t>
      </w:r>
      <w:r w:rsidRPr="004539D1">
        <w:rPr>
          <w:rStyle w:val="FootnoteReference"/>
          <w:rFonts w:eastAsia="Cambria" w:cstheme="minorHAnsi"/>
        </w:rPr>
        <w:footnoteReference w:id="1"/>
      </w:r>
      <w:r w:rsidRPr="004539D1">
        <w:rPr>
          <w:rFonts w:eastAsia="Cambria" w:cstheme="minorHAnsi"/>
        </w:rPr>
        <w:t xml:space="preserve"> (average of 2013-2017 = </w:t>
      </w:r>
      <w:r w:rsidRPr="004539D1">
        <w:rPr>
          <w:rFonts w:cstheme="minorHAnsi"/>
        </w:rPr>
        <w:t>69,354</w:t>
      </w:r>
      <w:r w:rsidRPr="004539D1">
        <w:rPr>
          <w:rFonts w:eastAsia="Cambria" w:cstheme="minorHAnsi"/>
        </w:rPr>
        <w:t xml:space="preserve"> t) over 10 years. Median female SSB is expected to increase to </w:t>
      </w:r>
      <w:r w:rsidRPr="004539D1">
        <w:rPr>
          <w:rFonts w:cstheme="minorHAnsi"/>
          <w:color w:val="000000"/>
        </w:rPr>
        <w:t>62,873</w:t>
      </w:r>
      <w:r w:rsidRPr="004539D1">
        <w:rPr>
          <w:rFonts w:eastAsia="Cambria" w:cstheme="minorHAnsi"/>
        </w:rPr>
        <w:t xml:space="preserve"> t (95% CI: </w:t>
      </w:r>
      <w:r w:rsidRPr="004539D1">
        <w:rPr>
          <w:rFonts w:cstheme="minorHAnsi"/>
          <w:color w:val="000000"/>
        </w:rPr>
        <w:t>45,123</w:t>
      </w:r>
      <w:r w:rsidRPr="004539D1">
        <w:rPr>
          <w:rFonts w:eastAsia="Cambria" w:cstheme="minorHAnsi"/>
        </w:rPr>
        <w:t xml:space="preserve"> - </w:t>
      </w:r>
      <w:r w:rsidRPr="004539D1">
        <w:rPr>
          <w:rFonts w:cstheme="minorHAnsi"/>
          <w:color w:val="000000"/>
        </w:rPr>
        <w:t>80,622</w:t>
      </w:r>
      <w:r w:rsidRPr="004539D1">
        <w:rPr>
          <w:rFonts w:eastAsia="Cambria" w:cstheme="minorHAnsi"/>
        </w:rPr>
        <w:t xml:space="preserve"> t) by 2028, with a low probability of being below the LRP by 2028, if fishing intensity remains at the 2015-2017 level (Figure </w:t>
      </w:r>
      <w:r w:rsidRPr="004539D1">
        <w:rPr>
          <w:rFonts w:cstheme="minorHAnsi"/>
        </w:rPr>
        <w:t>NPALB-</w:t>
      </w:r>
      <w:r w:rsidRPr="004539D1">
        <w:rPr>
          <w:rFonts w:eastAsia="Cambria" w:cstheme="minorHAnsi"/>
        </w:rPr>
        <w:t xml:space="preserve">2). If future catch is held constant at 69,354 t, the female SSB is expected to increase to </w:t>
      </w:r>
      <w:r w:rsidRPr="004539D1">
        <w:rPr>
          <w:rFonts w:cstheme="minorHAnsi"/>
          <w:color w:val="000000"/>
        </w:rPr>
        <w:t>66,313</w:t>
      </w:r>
      <w:r w:rsidRPr="004539D1">
        <w:rPr>
          <w:rFonts w:eastAsia="Cambria" w:cstheme="minorHAnsi"/>
        </w:rPr>
        <w:t xml:space="preserve"> t (95% CI: </w:t>
      </w:r>
      <w:r w:rsidRPr="004539D1">
        <w:rPr>
          <w:rFonts w:cstheme="minorHAnsi"/>
          <w:color w:val="000000"/>
        </w:rPr>
        <w:t>33,463</w:t>
      </w:r>
      <w:r w:rsidRPr="004539D1">
        <w:rPr>
          <w:rFonts w:eastAsia="Cambria" w:cstheme="minorHAnsi"/>
        </w:rPr>
        <w:t xml:space="preserve"> - </w:t>
      </w:r>
      <w:r w:rsidRPr="004539D1">
        <w:rPr>
          <w:rFonts w:cstheme="minorHAnsi"/>
          <w:color w:val="000000"/>
        </w:rPr>
        <w:t>99,164</w:t>
      </w:r>
      <w:r w:rsidRPr="004539D1">
        <w:rPr>
          <w:rFonts w:eastAsia="Cambria" w:cstheme="minorHAnsi"/>
        </w:rPr>
        <w:t xml:space="preserve"> t) by 2028 and the probability that female SSB will be below the LRP by 2028 is slightly higher than the constant F scenario (Figure </w:t>
      </w:r>
      <w:r w:rsidRPr="004539D1">
        <w:rPr>
          <w:rFonts w:cstheme="minorHAnsi"/>
        </w:rPr>
        <w:t>NPALB-</w:t>
      </w:r>
      <w:r w:rsidRPr="004539D1">
        <w:rPr>
          <w:rFonts w:eastAsia="Cambria" w:cstheme="minorHAnsi"/>
        </w:rPr>
        <w:t xml:space="preserve">3). Although </w:t>
      </w:r>
      <w:r w:rsidRPr="004539D1">
        <w:rPr>
          <w:rFonts w:cstheme="minorHAnsi"/>
          <w:color w:val="000000"/>
        </w:rPr>
        <w:t>the projections appear to underestimate the future uncertainty in female SSB trends, the probability of breaching the LRP in the future is likely small if the future fishing intensity is around current levels</w:t>
      </w:r>
      <w:r w:rsidRPr="004539D1">
        <w:rPr>
          <w:rFonts w:eastAsia="Cambria" w:cstheme="minorHAnsi"/>
        </w:rPr>
        <w:t>.</w:t>
      </w:r>
    </w:p>
    <w:p w14:paraId="020BB3F9" w14:textId="77777777" w:rsidR="008F7066" w:rsidRPr="004539D1" w:rsidRDefault="008F7066" w:rsidP="008F7066">
      <w:pPr>
        <w:adjustRightInd w:val="0"/>
        <w:snapToGrid w:val="0"/>
        <w:spacing w:after="0" w:line="240" w:lineRule="auto"/>
        <w:ind w:left="720"/>
        <w:jc w:val="both"/>
        <w:rPr>
          <w:rFonts w:eastAsia="Cambria" w:cstheme="minorHAnsi"/>
        </w:rPr>
      </w:pPr>
    </w:p>
    <w:p w14:paraId="4A21B2FF" w14:textId="77777777" w:rsidR="00C13471" w:rsidRPr="004539D1" w:rsidRDefault="00C13471" w:rsidP="008F7066">
      <w:pPr>
        <w:adjustRightInd w:val="0"/>
        <w:snapToGrid w:val="0"/>
        <w:spacing w:after="0" w:line="240" w:lineRule="auto"/>
        <w:ind w:left="720"/>
        <w:jc w:val="both"/>
        <w:rPr>
          <w:rFonts w:eastAsia="Cambria" w:cstheme="minorHAnsi"/>
        </w:rPr>
      </w:pPr>
      <w:r w:rsidRPr="004539D1">
        <w:rPr>
          <w:rFonts w:eastAsia="Cambria" w:cstheme="minorHAnsi"/>
        </w:rPr>
        <w:t xml:space="preserve">Based on these findings, the following information is provided: </w:t>
      </w:r>
    </w:p>
    <w:p w14:paraId="09DCC0B3" w14:textId="77777777" w:rsidR="00C13471" w:rsidRPr="004539D1" w:rsidRDefault="00C13471" w:rsidP="008F7066">
      <w:pPr>
        <w:adjustRightInd w:val="0"/>
        <w:snapToGrid w:val="0"/>
        <w:spacing w:after="0" w:line="240" w:lineRule="auto"/>
        <w:ind w:left="720"/>
        <w:jc w:val="both"/>
        <w:rPr>
          <w:rFonts w:eastAsia="Cambria" w:cstheme="minorHAnsi"/>
        </w:rPr>
      </w:pPr>
    </w:p>
    <w:p w14:paraId="74D94141" w14:textId="77777777" w:rsidR="00C13471" w:rsidRPr="004539D1" w:rsidRDefault="00C13471" w:rsidP="00C13471">
      <w:pPr>
        <w:pStyle w:val="ListParagraph"/>
        <w:numPr>
          <w:ilvl w:val="0"/>
          <w:numId w:val="10"/>
        </w:numPr>
        <w:adjustRightInd w:val="0"/>
        <w:snapToGrid w:val="0"/>
        <w:ind w:left="1080"/>
        <w:contextualSpacing w:val="0"/>
        <w:rPr>
          <w:rFonts w:asciiTheme="minorHAnsi" w:hAnsiTheme="minorHAnsi" w:cstheme="minorHAnsi"/>
          <w:bCs/>
        </w:rPr>
      </w:pPr>
      <w:r w:rsidRPr="004539D1">
        <w:rPr>
          <w:rFonts w:asciiTheme="minorHAnsi" w:eastAsia="Cambria" w:hAnsiTheme="minorHAnsi" w:cstheme="minorHAnsi"/>
          <w:bCs/>
        </w:rPr>
        <w:t>If a constant fishing intensity (F</w:t>
      </w:r>
      <w:r w:rsidRPr="004539D1">
        <w:rPr>
          <w:rFonts w:asciiTheme="minorHAnsi" w:eastAsia="Cambria" w:hAnsiTheme="minorHAnsi" w:cstheme="minorHAnsi"/>
          <w:bCs/>
          <w:vertAlign w:val="subscript"/>
        </w:rPr>
        <w:t>2015-2017</w:t>
      </w:r>
      <w:r w:rsidRPr="004539D1">
        <w:rPr>
          <w:rFonts w:asciiTheme="minorHAnsi" w:eastAsia="Cambria" w:hAnsiTheme="minorHAnsi" w:cstheme="minorHAnsi"/>
          <w:bCs/>
        </w:rPr>
        <w:t>) is applied to the stock, then median female spawning biomass is expected to increase to 62,873 t and there will be a low probability of falling below the limit reference point established by the WCPFC by 2028.</w:t>
      </w:r>
    </w:p>
    <w:p w14:paraId="4DA95D96" w14:textId="77777777" w:rsidR="00C13471" w:rsidRPr="004539D1" w:rsidRDefault="00C13471" w:rsidP="00C13471">
      <w:pPr>
        <w:pStyle w:val="ListParagraph"/>
        <w:adjustRightInd w:val="0"/>
        <w:snapToGrid w:val="0"/>
        <w:ind w:left="1080"/>
        <w:rPr>
          <w:rFonts w:asciiTheme="minorHAnsi" w:hAnsiTheme="minorHAnsi" w:cstheme="minorHAnsi"/>
          <w:bCs/>
        </w:rPr>
      </w:pPr>
    </w:p>
    <w:p w14:paraId="757830CF" w14:textId="77777777" w:rsidR="00C13471" w:rsidRPr="004539D1" w:rsidRDefault="00C13471" w:rsidP="00C13471">
      <w:pPr>
        <w:pStyle w:val="ListParagraph"/>
        <w:numPr>
          <w:ilvl w:val="0"/>
          <w:numId w:val="10"/>
        </w:numPr>
        <w:adjustRightInd w:val="0"/>
        <w:snapToGrid w:val="0"/>
        <w:ind w:left="1080"/>
        <w:contextualSpacing w:val="0"/>
        <w:rPr>
          <w:rFonts w:asciiTheme="minorHAnsi" w:hAnsiTheme="minorHAnsi" w:cstheme="minorHAnsi"/>
          <w:bCs/>
        </w:rPr>
      </w:pPr>
      <w:r w:rsidRPr="004539D1">
        <w:rPr>
          <w:rFonts w:asciiTheme="minorHAnsi" w:eastAsia="Cambria" w:hAnsiTheme="minorHAnsi" w:cstheme="minorHAnsi"/>
          <w:bCs/>
        </w:rPr>
        <w:t>If a constant average catch (C</w:t>
      </w:r>
      <w:r w:rsidRPr="004539D1">
        <w:rPr>
          <w:rFonts w:asciiTheme="minorHAnsi" w:eastAsia="Cambria" w:hAnsiTheme="minorHAnsi" w:cstheme="minorHAnsi"/>
          <w:bCs/>
          <w:vertAlign w:val="subscript"/>
        </w:rPr>
        <w:t>2013-2017</w:t>
      </w:r>
      <w:r w:rsidRPr="004539D1">
        <w:rPr>
          <w:rFonts w:asciiTheme="minorHAnsi" w:eastAsia="Cambria" w:hAnsiTheme="minorHAnsi" w:cstheme="minorHAnsi"/>
          <w:bCs/>
        </w:rPr>
        <w:t xml:space="preserve"> = </w:t>
      </w:r>
      <w:r w:rsidRPr="004539D1">
        <w:rPr>
          <w:rFonts w:asciiTheme="minorHAnsi" w:hAnsiTheme="minorHAnsi" w:cstheme="minorHAnsi"/>
          <w:bCs/>
        </w:rPr>
        <w:t xml:space="preserve">69,354 </w:t>
      </w:r>
      <w:r w:rsidRPr="004539D1">
        <w:rPr>
          <w:rFonts w:asciiTheme="minorHAnsi" w:eastAsia="Cambria" w:hAnsiTheme="minorHAnsi" w:cstheme="minorHAnsi"/>
          <w:bCs/>
        </w:rPr>
        <w:t>t) is removed from the stock in the future, then the median female spawning biomass is also expected to increase to 66,313 t and the probability that SSB falls below the LRP by 2028 will be slightly higher than the constant fishing intensity scenario.</w:t>
      </w:r>
    </w:p>
    <w:p w14:paraId="1EF575EE" w14:textId="77777777" w:rsidR="00C13471" w:rsidRPr="004539D1" w:rsidRDefault="00C13471" w:rsidP="008F7066">
      <w:pPr>
        <w:adjustRightInd w:val="0"/>
        <w:snapToGrid w:val="0"/>
        <w:spacing w:after="0" w:line="240" w:lineRule="auto"/>
        <w:rPr>
          <w:rFonts w:cstheme="minorHAnsi"/>
        </w:rPr>
      </w:pP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1350"/>
        <w:gridCol w:w="1890"/>
        <w:gridCol w:w="2430"/>
      </w:tblGrid>
      <w:tr w:rsidR="00C13471" w:rsidRPr="004539D1" w14:paraId="7B066AB8" w14:textId="77777777" w:rsidTr="006C5161">
        <w:trPr>
          <w:jc w:val="center"/>
        </w:trPr>
        <w:tc>
          <w:tcPr>
            <w:tcW w:w="9360" w:type="dxa"/>
            <w:gridSpan w:val="4"/>
            <w:tcBorders>
              <w:bottom w:val="single" w:sz="12" w:space="0" w:color="auto"/>
            </w:tcBorders>
          </w:tcPr>
          <w:p w14:paraId="49B9E156" w14:textId="77777777" w:rsidR="00C13471" w:rsidRPr="004539D1" w:rsidRDefault="00C13471" w:rsidP="00C13471">
            <w:pPr>
              <w:adjustRightInd w:val="0"/>
              <w:snapToGrid w:val="0"/>
              <w:jc w:val="both"/>
              <w:rPr>
                <w:rFonts w:cstheme="minorHAnsi"/>
              </w:rPr>
            </w:pPr>
            <w:r w:rsidRPr="004539D1">
              <w:rPr>
                <w:rFonts w:cstheme="minorHAnsi"/>
              </w:rPr>
              <w:br w:type="page"/>
            </w:r>
            <w:r w:rsidRPr="004539D1">
              <w:rPr>
                <w:rFonts w:cstheme="minorHAnsi"/>
              </w:rPr>
              <w:br w:type="page"/>
            </w:r>
            <w:r w:rsidRPr="004539D1">
              <w:rPr>
                <w:rFonts w:cstheme="minorHAnsi"/>
                <w:b/>
              </w:rPr>
              <w:t>Table NPALB-1</w:t>
            </w:r>
            <w:r w:rsidRPr="004539D1">
              <w:rPr>
                <w:rFonts w:cstheme="minorHAnsi"/>
              </w:rPr>
              <w:t>. Estimates of maximum sustainable yield (MSY), female spawning biomass (SSB), and fishing intensity (F) based reference point ratios for north Pacific albacore tuna for: 1) the base case model; 2) an important sensitivity model due to uncertainty in growth parameters; and 3) a model representing an update of the 2017 base case model to 2020 data. SSB</w:t>
            </w:r>
            <w:r w:rsidRPr="004539D1">
              <w:rPr>
                <w:rFonts w:cstheme="minorHAnsi"/>
                <w:vertAlign w:val="subscript"/>
              </w:rPr>
              <w:t>0</w:t>
            </w:r>
            <w:r w:rsidRPr="004539D1">
              <w:rPr>
                <w:rFonts w:cstheme="minorHAnsi"/>
              </w:rPr>
              <w:t xml:space="preserve"> and SSB</w:t>
            </w:r>
            <w:r w:rsidRPr="004539D1">
              <w:rPr>
                <w:rFonts w:cstheme="minorHAnsi"/>
                <w:vertAlign w:val="subscript"/>
              </w:rPr>
              <w:t>MSY</w:t>
            </w:r>
            <w:r w:rsidRPr="004539D1">
              <w:rPr>
                <w:rFonts w:cstheme="minorHAnsi"/>
              </w:rPr>
              <w:t xml:space="preserve"> are the unfished biomass of mature female fish and at MSY, respectively. The Fs in this table are indicators of fishing intensity based on SPR and calculated as 1-SPR so that the Fs reflect changes in fishing mortality. SPR is the equilibrium SSB per recruit that would result from the current year’s pattern and intensity of fishing mortality. Current fishing intensity is based on the average fishing intensity during 2015-2017 (F</w:t>
            </w:r>
            <w:r w:rsidRPr="004539D1">
              <w:rPr>
                <w:rFonts w:cstheme="minorHAnsi"/>
                <w:vertAlign w:val="subscript"/>
              </w:rPr>
              <w:t>2015-2017</w:t>
            </w:r>
            <w:r w:rsidRPr="004539D1">
              <w:rPr>
                <w:rFonts w:cstheme="minorHAnsi"/>
              </w:rPr>
              <w:t>). 20%SSB</w:t>
            </w:r>
            <w:r w:rsidRPr="004539D1">
              <w:rPr>
                <w:rFonts w:cstheme="minorHAnsi"/>
                <w:vertAlign w:val="subscript"/>
              </w:rPr>
              <w:t xml:space="preserve">current, F=0 </w:t>
            </w:r>
            <w:r w:rsidRPr="004539D1">
              <w:rPr>
                <w:rFonts w:cstheme="minorHAnsi"/>
              </w:rPr>
              <w:t xml:space="preserve">is 20% of the current unfished dynamic female spawning biomass, where current refers to the terminal year of this assessment (i.e., 2018). The model representing an update of the 2017 base case model is highly </w:t>
            </w:r>
            <w:proofErr w:type="gramStart"/>
            <w:r w:rsidRPr="004539D1">
              <w:rPr>
                <w:rFonts w:cstheme="minorHAnsi"/>
              </w:rPr>
              <w:t>similar to</w:t>
            </w:r>
            <w:proofErr w:type="gramEnd"/>
            <w:r w:rsidRPr="004539D1">
              <w:rPr>
                <w:rFonts w:cstheme="minorHAnsi"/>
              </w:rPr>
              <w:t xml:space="preserve"> but not identical to the 2017 base case model due to changes in data preparation and model structure.</w:t>
            </w:r>
          </w:p>
        </w:tc>
      </w:tr>
      <w:tr w:rsidR="00C13471" w:rsidRPr="004539D1" w14:paraId="1291FC01" w14:textId="77777777" w:rsidTr="006C5161">
        <w:trPr>
          <w:trHeight w:val="708"/>
          <w:jc w:val="center"/>
        </w:trPr>
        <w:tc>
          <w:tcPr>
            <w:tcW w:w="3690" w:type="dxa"/>
            <w:tcBorders>
              <w:top w:val="single" w:sz="12" w:space="0" w:color="auto"/>
              <w:bottom w:val="single" w:sz="12" w:space="0" w:color="auto"/>
            </w:tcBorders>
            <w:vAlign w:val="center"/>
          </w:tcPr>
          <w:p w14:paraId="403903D0" w14:textId="77777777" w:rsidR="00C13471" w:rsidRPr="004539D1" w:rsidRDefault="00C13471" w:rsidP="00C13471">
            <w:pPr>
              <w:adjustRightInd w:val="0"/>
              <w:snapToGrid w:val="0"/>
              <w:rPr>
                <w:rFonts w:cstheme="minorHAnsi"/>
              </w:rPr>
            </w:pPr>
            <w:r w:rsidRPr="004539D1">
              <w:rPr>
                <w:rFonts w:cstheme="minorHAnsi"/>
              </w:rPr>
              <w:t>Quantity</w:t>
            </w:r>
          </w:p>
        </w:tc>
        <w:tc>
          <w:tcPr>
            <w:tcW w:w="1350" w:type="dxa"/>
            <w:tcBorders>
              <w:top w:val="single" w:sz="12" w:space="0" w:color="auto"/>
              <w:bottom w:val="single" w:sz="12" w:space="0" w:color="auto"/>
            </w:tcBorders>
            <w:vAlign w:val="center"/>
          </w:tcPr>
          <w:p w14:paraId="66541CD9" w14:textId="77777777" w:rsidR="00C13471" w:rsidRPr="004539D1" w:rsidRDefault="00C13471" w:rsidP="00C13471">
            <w:pPr>
              <w:adjustRightInd w:val="0"/>
              <w:snapToGrid w:val="0"/>
              <w:jc w:val="center"/>
              <w:rPr>
                <w:rFonts w:cstheme="minorHAnsi"/>
              </w:rPr>
            </w:pPr>
            <w:r w:rsidRPr="004539D1">
              <w:rPr>
                <w:rFonts w:cstheme="minorHAnsi"/>
              </w:rPr>
              <w:t>Base Case</w:t>
            </w:r>
          </w:p>
        </w:tc>
        <w:tc>
          <w:tcPr>
            <w:tcW w:w="1890" w:type="dxa"/>
            <w:tcBorders>
              <w:top w:val="single" w:sz="12" w:space="0" w:color="auto"/>
              <w:bottom w:val="single" w:sz="12" w:space="0" w:color="auto"/>
            </w:tcBorders>
            <w:vAlign w:val="center"/>
          </w:tcPr>
          <w:p w14:paraId="43E3AC50" w14:textId="77777777" w:rsidR="00C13471" w:rsidRPr="004539D1" w:rsidRDefault="00C13471" w:rsidP="00C13471">
            <w:pPr>
              <w:adjustRightInd w:val="0"/>
              <w:snapToGrid w:val="0"/>
              <w:jc w:val="center"/>
              <w:rPr>
                <w:rFonts w:cstheme="minorHAnsi"/>
              </w:rPr>
            </w:pPr>
            <w:r w:rsidRPr="004539D1">
              <w:rPr>
                <w:rFonts w:cstheme="minorHAnsi"/>
              </w:rPr>
              <w:t>Growth</w:t>
            </w:r>
          </w:p>
          <w:p w14:paraId="10566018" w14:textId="77777777" w:rsidR="00C13471" w:rsidRPr="004539D1" w:rsidRDefault="00C13471" w:rsidP="00C13471">
            <w:pPr>
              <w:tabs>
                <w:tab w:val="left" w:pos="626"/>
              </w:tabs>
              <w:adjustRightInd w:val="0"/>
              <w:snapToGrid w:val="0"/>
              <w:jc w:val="center"/>
              <w:rPr>
                <w:rFonts w:cstheme="minorHAnsi"/>
              </w:rPr>
            </w:pPr>
            <w:r w:rsidRPr="004539D1">
              <w:rPr>
                <w:rFonts w:cstheme="minorHAnsi"/>
              </w:rPr>
              <w:t xml:space="preserve">CV = 0.06 for </w:t>
            </w:r>
            <w:proofErr w:type="spellStart"/>
            <w:r w:rsidRPr="004539D1">
              <w:rPr>
                <w:rFonts w:cstheme="minorHAnsi"/>
              </w:rPr>
              <w:t>L</w:t>
            </w:r>
            <w:r w:rsidRPr="004539D1">
              <w:rPr>
                <w:rFonts w:cstheme="minorHAnsi"/>
                <w:vertAlign w:val="subscript"/>
              </w:rPr>
              <w:t>inf</w:t>
            </w:r>
            <w:proofErr w:type="spellEnd"/>
          </w:p>
        </w:tc>
        <w:tc>
          <w:tcPr>
            <w:tcW w:w="2430" w:type="dxa"/>
            <w:tcBorders>
              <w:top w:val="single" w:sz="12" w:space="0" w:color="auto"/>
              <w:bottom w:val="single" w:sz="12" w:space="0" w:color="auto"/>
            </w:tcBorders>
            <w:vAlign w:val="center"/>
          </w:tcPr>
          <w:p w14:paraId="5CB122D4" w14:textId="77777777" w:rsidR="00C13471" w:rsidRPr="004539D1" w:rsidRDefault="00C13471" w:rsidP="00C13471">
            <w:pPr>
              <w:adjustRightInd w:val="0"/>
              <w:snapToGrid w:val="0"/>
              <w:jc w:val="center"/>
              <w:rPr>
                <w:rFonts w:cstheme="minorHAnsi"/>
              </w:rPr>
            </w:pPr>
            <w:r w:rsidRPr="004539D1">
              <w:rPr>
                <w:rFonts w:cstheme="minorHAnsi"/>
              </w:rPr>
              <w:t>Update of 2017 base case model to 2020 data</w:t>
            </w:r>
          </w:p>
        </w:tc>
      </w:tr>
      <w:tr w:rsidR="00C13471" w:rsidRPr="004539D1" w14:paraId="61E125D2" w14:textId="77777777" w:rsidTr="006C5161">
        <w:trPr>
          <w:jc w:val="center"/>
        </w:trPr>
        <w:tc>
          <w:tcPr>
            <w:tcW w:w="3690" w:type="dxa"/>
            <w:tcBorders>
              <w:top w:val="single" w:sz="12" w:space="0" w:color="auto"/>
            </w:tcBorders>
          </w:tcPr>
          <w:p w14:paraId="057D75CD" w14:textId="77777777" w:rsidR="00C13471" w:rsidRPr="004539D1" w:rsidRDefault="00C13471" w:rsidP="00C13471">
            <w:pPr>
              <w:adjustRightInd w:val="0"/>
              <w:snapToGrid w:val="0"/>
              <w:rPr>
                <w:rFonts w:cstheme="minorHAnsi"/>
              </w:rPr>
            </w:pPr>
            <w:r w:rsidRPr="004539D1">
              <w:rPr>
                <w:rFonts w:cstheme="minorHAnsi"/>
              </w:rPr>
              <w:t xml:space="preserve">MSY (t) </w:t>
            </w:r>
            <w:r w:rsidRPr="004539D1">
              <w:rPr>
                <w:rFonts w:cstheme="minorHAnsi"/>
                <w:vertAlign w:val="superscript"/>
              </w:rPr>
              <w:t>A</w:t>
            </w:r>
          </w:p>
        </w:tc>
        <w:tc>
          <w:tcPr>
            <w:tcW w:w="1350" w:type="dxa"/>
            <w:tcBorders>
              <w:top w:val="single" w:sz="12" w:space="0" w:color="auto"/>
            </w:tcBorders>
          </w:tcPr>
          <w:p w14:paraId="391CFF3B" w14:textId="77777777" w:rsidR="00C13471" w:rsidRPr="004539D1" w:rsidRDefault="00C13471" w:rsidP="00C13471">
            <w:pPr>
              <w:adjustRightInd w:val="0"/>
              <w:snapToGrid w:val="0"/>
              <w:ind w:right="162"/>
              <w:jc w:val="right"/>
              <w:rPr>
                <w:rFonts w:cstheme="minorHAnsi"/>
              </w:rPr>
            </w:pPr>
            <w:r w:rsidRPr="004539D1">
              <w:rPr>
                <w:rFonts w:cstheme="minorHAnsi"/>
              </w:rPr>
              <w:t>102,236</w:t>
            </w:r>
          </w:p>
        </w:tc>
        <w:tc>
          <w:tcPr>
            <w:tcW w:w="1890" w:type="dxa"/>
            <w:tcBorders>
              <w:top w:val="single" w:sz="12" w:space="0" w:color="auto"/>
            </w:tcBorders>
          </w:tcPr>
          <w:p w14:paraId="28785865" w14:textId="77777777" w:rsidR="00C13471" w:rsidRPr="004539D1" w:rsidRDefault="00C13471" w:rsidP="00C13471">
            <w:pPr>
              <w:adjustRightInd w:val="0"/>
              <w:snapToGrid w:val="0"/>
              <w:jc w:val="right"/>
              <w:rPr>
                <w:rFonts w:cstheme="minorHAnsi"/>
              </w:rPr>
            </w:pPr>
            <w:r w:rsidRPr="004539D1">
              <w:rPr>
                <w:rFonts w:cstheme="minorHAnsi"/>
              </w:rPr>
              <w:t>84,385</w:t>
            </w:r>
          </w:p>
        </w:tc>
        <w:tc>
          <w:tcPr>
            <w:tcW w:w="2430" w:type="dxa"/>
            <w:tcBorders>
              <w:top w:val="single" w:sz="12" w:space="0" w:color="auto"/>
            </w:tcBorders>
          </w:tcPr>
          <w:p w14:paraId="2BE3EBFD" w14:textId="77777777" w:rsidR="00C13471" w:rsidRPr="004539D1" w:rsidRDefault="00C13471" w:rsidP="00C13471">
            <w:pPr>
              <w:adjustRightInd w:val="0"/>
              <w:snapToGrid w:val="0"/>
              <w:jc w:val="right"/>
              <w:rPr>
                <w:rFonts w:cstheme="minorHAnsi"/>
              </w:rPr>
            </w:pPr>
            <w:r w:rsidRPr="004539D1">
              <w:rPr>
                <w:rFonts w:cstheme="minorHAnsi"/>
              </w:rPr>
              <w:t>113,522</w:t>
            </w:r>
          </w:p>
        </w:tc>
      </w:tr>
      <w:tr w:rsidR="00C13471" w:rsidRPr="004539D1" w14:paraId="472ED7EB" w14:textId="77777777" w:rsidTr="006C5161">
        <w:trPr>
          <w:jc w:val="center"/>
        </w:trPr>
        <w:tc>
          <w:tcPr>
            <w:tcW w:w="3690" w:type="dxa"/>
          </w:tcPr>
          <w:p w14:paraId="1574CC1F" w14:textId="77777777" w:rsidR="00C13471" w:rsidRPr="004539D1" w:rsidRDefault="00C13471" w:rsidP="00C13471">
            <w:pPr>
              <w:adjustRightInd w:val="0"/>
              <w:snapToGrid w:val="0"/>
              <w:rPr>
                <w:rFonts w:cstheme="minorHAnsi"/>
              </w:rPr>
            </w:pPr>
            <w:r w:rsidRPr="004539D1">
              <w:rPr>
                <w:rFonts w:cstheme="minorHAnsi"/>
              </w:rPr>
              <w:t>SSB</w:t>
            </w:r>
            <w:r w:rsidRPr="004539D1">
              <w:rPr>
                <w:rFonts w:cstheme="minorHAnsi"/>
                <w:vertAlign w:val="subscript"/>
              </w:rPr>
              <w:t>MSY</w:t>
            </w:r>
            <w:r w:rsidRPr="004539D1">
              <w:rPr>
                <w:rFonts w:cstheme="minorHAnsi"/>
              </w:rPr>
              <w:t xml:space="preserve"> (t)</w:t>
            </w:r>
            <w:r w:rsidRPr="004539D1">
              <w:rPr>
                <w:rFonts w:cstheme="minorHAnsi"/>
                <w:vertAlign w:val="superscript"/>
              </w:rPr>
              <w:t>B</w:t>
            </w:r>
          </w:p>
        </w:tc>
        <w:tc>
          <w:tcPr>
            <w:tcW w:w="1350" w:type="dxa"/>
          </w:tcPr>
          <w:p w14:paraId="3CC78B24" w14:textId="77777777" w:rsidR="00C13471" w:rsidRPr="004539D1" w:rsidRDefault="00C13471" w:rsidP="00C13471">
            <w:pPr>
              <w:adjustRightInd w:val="0"/>
              <w:snapToGrid w:val="0"/>
              <w:ind w:right="162"/>
              <w:jc w:val="right"/>
              <w:rPr>
                <w:rFonts w:cstheme="minorHAnsi"/>
              </w:rPr>
            </w:pPr>
            <w:r w:rsidRPr="004539D1">
              <w:rPr>
                <w:rFonts w:cstheme="minorHAnsi"/>
              </w:rPr>
              <w:t>19,535</w:t>
            </w:r>
          </w:p>
        </w:tc>
        <w:tc>
          <w:tcPr>
            <w:tcW w:w="1890" w:type="dxa"/>
          </w:tcPr>
          <w:p w14:paraId="4E31C1AA" w14:textId="77777777" w:rsidR="00C13471" w:rsidRPr="004539D1" w:rsidRDefault="00C13471" w:rsidP="00C13471">
            <w:pPr>
              <w:adjustRightInd w:val="0"/>
              <w:snapToGrid w:val="0"/>
              <w:jc w:val="right"/>
              <w:rPr>
                <w:rFonts w:cstheme="minorHAnsi"/>
              </w:rPr>
            </w:pPr>
            <w:r w:rsidRPr="004539D1">
              <w:rPr>
                <w:rFonts w:cstheme="minorHAnsi"/>
              </w:rPr>
              <w:t>16,404</w:t>
            </w:r>
          </w:p>
        </w:tc>
        <w:tc>
          <w:tcPr>
            <w:tcW w:w="2430" w:type="dxa"/>
          </w:tcPr>
          <w:p w14:paraId="65DF6B93" w14:textId="77777777" w:rsidR="00C13471" w:rsidRPr="004539D1" w:rsidRDefault="00C13471" w:rsidP="00C13471">
            <w:pPr>
              <w:adjustRightInd w:val="0"/>
              <w:snapToGrid w:val="0"/>
              <w:jc w:val="right"/>
              <w:rPr>
                <w:rFonts w:cstheme="minorHAnsi"/>
              </w:rPr>
            </w:pPr>
            <w:r w:rsidRPr="004539D1">
              <w:rPr>
                <w:rFonts w:cstheme="minorHAnsi"/>
              </w:rPr>
              <w:t>21,431</w:t>
            </w:r>
          </w:p>
        </w:tc>
      </w:tr>
      <w:tr w:rsidR="00C13471" w:rsidRPr="004539D1" w14:paraId="4D76823B" w14:textId="77777777" w:rsidTr="006C5161">
        <w:trPr>
          <w:jc w:val="center"/>
        </w:trPr>
        <w:tc>
          <w:tcPr>
            <w:tcW w:w="3690" w:type="dxa"/>
          </w:tcPr>
          <w:p w14:paraId="6B1E3353" w14:textId="77777777" w:rsidR="00C13471" w:rsidRPr="004539D1" w:rsidRDefault="00C13471" w:rsidP="00C13471">
            <w:pPr>
              <w:adjustRightInd w:val="0"/>
              <w:snapToGrid w:val="0"/>
              <w:rPr>
                <w:rFonts w:cstheme="minorHAnsi"/>
                <w:vertAlign w:val="subscript"/>
              </w:rPr>
            </w:pPr>
            <w:r w:rsidRPr="004539D1">
              <w:rPr>
                <w:rFonts w:cstheme="minorHAnsi"/>
              </w:rPr>
              <w:t>SSB</w:t>
            </w:r>
            <w:r w:rsidRPr="004539D1">
              <w:rPr>
                <w:rFonts w:cstheme="minorHAnsi"/>
                <w:vertAlign w:val="subscript"/>
              </w:rPr>
              <w:t>0</w:t>
            </w:r>
            <w:r w:rsidRPr="004539D1">
              <w:rPr>
                <w:rFonts w:cstheme="minorHAnsi"/>
              </w:rPr>
              <w:t xml:space="preserve"> (t)</w:t>
            </w:r>
            <w:r w:rsidRPr="004539D1">
              <w:rPr>
                <w:rFonts w:cstheme="minorHAnsi"/>
                <w:vertAlign w:val="superscript"/>
              </w:rPr>
              <w:t>B</w:t>
            </w:r>
          </w:p>
        </w:tc>
        <w:tc>
          <w:tcPr>
            <w:tcW w:w="1350" w:type="dxa"/>
          </w:tcPr>
          <w:p w14:paraId="00A3F902" w14:textId="77777777" w:rsidR="00C13471" w:rsidRPr="004539D1" w:rsidRDefault="00C13471" w:rsidP="00C13471">
            <w:pPr>
              <w:adjustRightInd w:val="0"/>
              <w:snapToGrid w:val="0"/>
              <w:ind w:right="162"/>
              <w:jc w:val="right"/>
              <w:rPr>
                <w:rFonts w:cstheme="minorHAnsi"/>
              </w:rPr>
            </w:pPr>
            <w:r w:rsidRPr="004539D1">
              <w:rPr>
                <w:rFonts w:cstheme="minorHAnsi"/>
              </w:rPr>
              <w:t>136,833</w:t>
            </w:r>
          </w:p>
        </w:tc>
        <w:tc>
          <w:tcPr>
            <w:tcW w:w="1890" w:type="dxa"/>
          </w:tcPr>
          <w:p w14:paraId="2D946CF6" w14:textId="77777777" w:rsidR="00C13471" w:rsidRPr="004539D1" w:rsidRDefault="00C13471" w:rsidP="00C13471">
            <w:pPr>
              <w:adjustRightInd w:val="0"/>
              <w:snapToGrid w:val="0"/>
              <w:jc w:val="right"/>
              <w:rPr>
                <w:rFonts w:cstheme="minorHAnsi"/>
              </w:rPr>
            </w:pPr>
            <w:r w:rsidRPr="004539D1">
              <w:rPr>
                <w:rFonts w:cstheme="minorHAnsi"/>
              </w:rPr>
              <w:t>113,331</w:t>
            </w:r>
          </w:p>
        </w:tc>
        <w:tc>
          <w:tcPr>
            <w:tcW w:w="2430" w:type="dxa"/>
          </w:tcPr>
          <w:p w14:paraId="3224EBCA" w14:textId="77777777" w:rsidR="00C13471" w:rsidRPr="004539D1" w:rsidRDefault="00C13471" w:rsidP="00C13471">
            <w:pPr>
              <w:adjustRightInd w:val="0"/>
              <w:snapToGrid w:val="0"/>
              <w:jc w:val="right"/>
              <w:rPr>
                <w:rFonts w:cstheme="minorHAnsi"/>
              </w:rPr>
            </w:pPr>
            <w:r w:rsidRPr="004539D1">
              <w:rPr>
                <w:rFonts w:cstheme="minorHAnsi"/>
              </w:rPr>
              <w:t>152,301</w:t>
            </w:r>
          </w:p>
        </w:tc>
      </w:tr>
      <w:tr w:rsidR="00C13471" w:rsidRPr="004539D1" w14:paraId="3C3A5F0A" w14:textId="77777777" w:rsidTr="006C5161">
        <w:trPr>
          <w:jc w:val="center"/>
        </w:trPr>
        <w:tc>
          <w:tcPr>
            <w:tcW w:w="3690" w:type="dxa"/>
          </w:tcPr>
          <w:p w14:paraId="566EEB75" w14:textId="77777777" w:rsidR="00C13471" w:rsidRPr="004539D1" w:rsidRDefault="00C13471" w:rsidP="00C13471">
            <w:pPr>
              <w:adjustRightInd w:val="0"/>
              <w:snapToGrid w:val="0"/>
              <w:rPr>
                <w:rFonts w:cstheme="minorHAnsi"/>
              </w:rPr>
            </w:pPr>
            <w:r w:rsidRPr="004539D1">
              <w:rPr>
                <w:rFonts w:cstheme="minorHAnsi"/>
              </w:rPr>
              <w:t>SSB</w:t>
            </w:r>
            <w:r w:rsidRPr="004539D1">
              <w:rPr>
                <w:rFonts w:cstheme="minorHAnsi"/>
                <w:vertAlign w:val="subscript"/>
              </w:rPr>
              <w:t>2018</w:t>
            </w:r>
            <w:r w:rsidRPr="004539D1">
              <w:rPr>
                <w:rFonts w:cstheme="minorHAnsi"/>
              </w:rPr>
              <w:t xml:space="preserve"> (t) </w:t>
            </w:r>
            <w:r w:rsidRPr="004539D1">
              <w:rPr>
                <w:rFonts w:cstheme="minorHAnsi"/>
                <w:vertAlign w:val="superscript"/>
              </w:rPr>
              <w:t>B</w:t>
            </w:r>
          </w:p>
        </w:tc>
        <w:tc>
          <w:tcPr>
            <w:tcW w:w="1350" w:type="dxa"/>
          </w:tcPr>
          <w:p w14:paraId="784BDDBD" w14:textId="77777777" w:rsidR="00C13471" w:rsidRPr="004539D1" w:rsidRDefault="00C13471" w:rsidP="00C13471">
            <w:pPr>
              <w:adjustRightInd w:val="0"/>
              <w:snapToGrid w:val="0"/>
              <w:ind w:right="162"/>
              <w:jc w:val="right"/>
              <w:rPr>
                <w:rFonts w:cstheme="minorHAnsi"/>
              </w:rPr>
            </w:pPr>
            <w:r w:rsidRPr="004539D1">
              <w:rPr>
                <w:rFonts w:cstheme="minorHAnsi"/>
              </w:rPr>
              <w:t>58,858</w:t>
            </w:r>
          </w:p>
        </w:tc>
        <w:tc>
          <w:tcPr>
            <w:tcW w:w="1890" w:type="dxa"/>
          </w:tcPr>
          <w:p w14:paraId="11868DA1" w14:textId="77777777" w:rsidR="00C13471" w:rsidRPr="004539D1" w:rsidRDefault="00C13471" w:rsidP="00C13471">
            <w:pPr>
              <w:adjustRightInd w:val="0"/>
              <w:snapToGrid w:val="0"/>
              <w:jc w:val="right"/>
              <w:rPr>
                <w:rFonts w:cstheme="minorHAnsi"/>
              </w:rPr>
            </w:pPr>
            <w:r w:rsidRPr="004539D1">
              <w:rPr>
                <w:rFonts w:cstheme="minorHAnsi"/>
              </w:rPr>
              <w:t>34,872</w:t>
            </w:r>
          </w:p>
        </w:tc>
        <w:tc>
          <w:tcPr>
            <w:tcW w:w="2430" w:type="dxa"/>
          </w:tcPr>
          <w:p w14:paraId="71F4179A" w14:textId="77777777" w:rsidR="00C13471" w:rsidRPr="004539D1" w:rsidRDefault="00C13471" w:rsidP="00C13471">
            <w:pPr>
              <w:adjustRightInd w:val="0"/>
              <w:snapToGrid w:val="0"/>
              <w:jc w:val="right"/>
              <w:rPr>
                <w:rFonts w:cstheme="minorHAnsi"/>
              </w:rPr>
            </w:pPr>
            <w:r w:rsidRPr="004539D1">
              <w:rPr>
                <w:rFonts w:cstheme="minorHAnsi"/>
              </w:rPr>
              <w:t>77,077</w:t>
            </w:r>
          </w:p>
        </w:tc>
      </w:tr>
      <w:tr w:rsidR="00C13471" w:rsidRPr="004539D1" w14:paraId="6D06924C" w14:textId="77777777" w:rsidTr="006C5161">
        <w:trPr>
          <w:jc w:val="center"/>
        </w:trPr>
        <w:tc>
          <w:tcPr>
            <w:tcW w:w="3690" w:type="dxa"/>
          </w:tcPr>
          <w:p w14:paraId="265CD249" w14:textId="77777777" w:rsidR="00C13471" w:rsidRPr="004539D1" w:rsidRDefault="00C13471" w:rsidP="00C13471">
            <w:pPr>
              <w:adjustRightInd w:val="0"/>
              <w:snapToGrid w:val="0"/>
              <w:rPr>
                <w:rFonts w:cstheme="minorHAnsi"/>
              </w:rPr>
            </w:pPr>
            <w:r w:rsidRPr="004539D1">
              <w:rPr>
                <w:rFonts w:cstheme="minorHAnsi"/>
              </w:rPr>
              <w:t>SSB</w:t>
            </w:r>
            <w:r w:rsidRPr="004539D1">
              <w:rPr>
                <w:rFonts w:cstheme="minorHAnsi"/>
                <w:vertAlign w:val="subscript"/>
              </w:rPr>
              <w:t>2018</w:t>
            </w:r>
            <w:r w:rsidRPr="004539D1">
              <w:rPr>
                <w:rFonts w:cstheme="minorHAnsi"/>
              </w:rPr>
              <w:t>/20%SSB</w:t>
            </w:r>
            <w:r w:rsidRPr="004539D1">
              <w:rPr>
                <w:rFonts w:cstheme="minorHAnsi"/>
                <w:vertAlign w:val="subscript"/>
              </w:rPr>
              <w:t xml:space="preserve">current, F=0 </w:t>
            </w:r>
            <w:r w:rsidRPr="004539D1">
              <w:rPr>
                <w:rFonts w:cstheme="minorHAnsi"/>
                <w:vertAlign w:val="superscript"/>
              </w:rPr>
              <w:t>B</w:t>
            </w:r>
          </w:p>
        </w:tc>
        <w:tc>
          <w:tcPr>
            <w:tcW w:w="1350" w:type="dxa"/>
          </w:tcPr>
          <w:p w14:paraId="51FBF137" w14:textId="77777777" w:rsidR="00C13471" w:rsidRPr="004539D1" w:rsidRDefault="00C13471" w:rsidP="00C13471">
            <w:pPr>
              <w:adjustRightInd w:val="0"/>
              <w:snapToGrid w:val="0"/>
              <w:ind w:right="162"/>
              <w:jc w:val="right"/>
              <w:rPr>
                <w:rFonts w:cstheme="minorHAnsi"/>
              </w:rPr>
            </w:pPr>
            <w:r w:rsidRPr="004539D1">
              <w:rPr>
                <w:rFonts w:cstheme="minorHAnsi"/>
              </w:rPr>
              <w:t>2.30</w:t>
            </w:r>
          </w:p>
        </w:tc>
        <w:tc>
          <w:tcPr>
            <w:tcW w:w="1890" w:type="dxa"/>
          </w:tcPr>
          <w:p w14:paraId="4961BBBF" w14:textId="77777777" w:rsidR="00C13471" w:rsidRPr="004539D1" w:rsidRDefault="00C13471" w:rsidP="00C13471">
            <w:pPr>
              <w:adjustRightInd w:val="0"/>
              <w:snapToGrid w:val="0"/>
              <w:jc w:val="right"/>
              <w:rPr>
                <w:rFonts w:cstheme="minorHAnsi"/>
              </w:rPr>
            </w:pPr>
            <w:r w:rsidRPr="004539D1">
              <w:rPr>
                <w:rFonts w:cstheme="minorHAnsi"/>
              </w:rPr>
              <w:t>1.63</w:t>
            </w:r>
          </w:p>
        </w:tc>
        <w:tc>
          <w:tcPr>
            <w:tcW w:w="2430" w:type="dxa"/>
          </w:tcPr>
          <w:p w14:paraId="456C7663" w14:textId="77777777" w:rsidR="00C13471" w:rsidRPr="004539D1" w:rsidRDefault="00C13471" w:rsidP="00C13471">
            <w:pPr>
              <w:adjustRightInd w:val="0"/>
              <w:snapToGrid w:val="0"/>
              <w:jc w:val="right"/>
              <w:rPr>
                <w:rFonts w:cstheme="minorHAnsi"/>
              </w:rPr>
            </w:pPr>
            <w:r w:rsidRPr="004539D1">
              <w:rPr>
                <w:rFonts w:cstheme="minorHAnsi"/>
              </w:rPr>
              <w:t>2.63</w:t>
            </w:r>
          </w:p>
        </w:tc>
      </w:tr>
      <w:tr w:rsidR="00C13471" w:rsidRPr="004539D1" w14:paraId="4B2A9340" w14:textId="77777777" w:rsidTr="006C5161">
        <w:trPr>
          <w:jc w:val="center"/>
        </w:trPr>
        <w:tc>
          <w:tcPr>
            <w:tcW w:w="3690" w:type="dxa"/>
          </w:tcPr>
          <w:p w14:paraId="302761C0" w14:textId="77777777" w:rsidR="00C13471" w:rsidRPr="004539D1" w:rsidRDefault="00C13471" w:rsidP="00C13471">
            <w:pPr>
              <w:adjustRightInd w:val="0"/>
              <w:snapToGrid w:val="0"/>
              <w:rPr>
                <w:rFonts w:cstheme="minorHAnsi"/>
              </w:rPr>
            </w:pPr>
            <w:r w:rsidRPr="004539D1">
              <w:rPr>
                <w:rFonts w:cstheme="minorHAnsi"/>
              </w:rPr>
              <w:t>F</w:t>
            </w:r>
            <w:r w:rsidRPr="004539D1">
              <w:rPr>
                <w:rFonts w:cstheme="minorHAnsi"/>
                <w:vertAlign w:val="subscript"/>
              </w:rPr>
              <w:t>2015-2017</w:t>
            </w:r>
          </w:p>
        </w:tc>
        <w:tc>
          <w:tcPr>
            <w:tcW w:w="1350" w:type="dxa"/>
          </w:tcPr>
          <w:p w14:paraId="71DDCB34" w14:textId="77777777" w:rsidR="00C13471" w:rsidRPr="004539D1" w:rsidRDefault="00C13471" w:rsidP="00C13471">
            <w:pPr>
              <w:widowControl w:val="0"/>
              <w:adjustRightInd w:val="0"/>
              <w:snapToGrid w:val="0"/>
              <w:ind w:right="162"/>
              <w:jc w:val="right"/>
              <w:rPr>
                <w:rFonts w:cstheme="minorHAnsi"/>
              </w:rPr>
            </w:pPr>
            <w:r w:rsidRPr="004539D1">
              <w:rPr>
                <w:rFonts w:cstheme="minorHAnsi"/>
              </w:rPr>
              <w:t>0.50</w:t>
            </w:r>
          </w:p>
        </w:tc>
        <w:tc>
          <w:tcPr>
            <w:tcW w:w="1890" w:type="dxa"/>
          </w:tcPr>
          <w:p w14:paraId="64C97C87" w14:textId="77777777" w:rsidR="00C13471" w:rsidRPr="004539D1" w:rsidRDefault="00C13471" w:rsidP="00C13471">
            <w:pPr>
              <w:adjustRightInd w:val="0"/>
              <w:snapToGrid w:val="0"/>
              <w:jc w:val="right"/>
              <w:rPr>
                <w:rFonts w:cstheme="minorHAnsi"/>
              </w:rPr>
            </w:pPr>
            <w:r w:rsidRPr="004539D1">
              <w:rPr>
                <w:rFonts w:cstheme="minorHAnsi"/>
              </w:rPr>
              <w:t>0.64</w:t>
            </w:r>
          </w:p>
        </w:tc>
        <w:tc>
          <w:tcPr>
            <w:tcW w:w="2430" w:type="dxa"/>
          </w:tcPr>
          <w:p w14:paraId="20BB43F3" w14:textId="77777777" w:rsidR="00C13471" w:rsidRPr="004539D1" w:rsidRDefault="00C13471" w:rsidP="00C13471">
            <w:pPr>
              <w:adjustRightInd w:val="0"/>
              <w:snapToGrid w:val="0"/>
              <w:jc w:val="right"/>
              <w:rPr>
                <w:rFonts w:cstheme="minorHAnsi"/>
              </w:rPr>
            </w:pPr>
            <w:r w:rsidRPr="004539D1">
              <w:rPr>
                <w:rFonts w:cstheme="minorHAnsi"/>
              </w:rPr>
              <w:t>0.43</w:t>
            </w:r>
          </w:p>
        </w:tc>
      </w:tr>
      <w:tr w:rsidR="00C13471" w:rsidRPr="004539D1" w14:paraId="182A26C1" w14:textId="77777777" w:rsidTr="006C5161">
        <w:trPr>
          <w:jc w:val="center"/>
        </w:trPr>
        <w:tc>
          <w:tcPr>
            <w:tcW w:w="3690" w:type="dxa"/>
          </w:tcPr>
          <w:p w14:paraId="3B5FCD26" w14:textId="77777777" w:rsidR="00C13471" w:rsidRPr="004539D1" w:rsidRDefault="00C13471" w:rsidP="00C13471">
            <w:pPr>
              <w:adjustRightInd w:val="0"/>
              <w:snapToGrid w:val="0"/>
              <w:rPr>
                <w:rFonts w:cstheme="minorHAnsi"/>
              </w:rPr>
            </w:pPr>
            <w:r w:rsidRPr="004539D1">
              <w:rPr>
                <w:rFonts w:cstheme="minorHAnsi"/>
              </w:rPr>
              <w:t>F</w:t>
            </w:r>
            <w:r w:rsidRPr="004539D1">
              <w:rPr>
                <w:rFonts w:cstheme="minorHAnsi"/>
                <w:vertAlign w:val="subscript"/>
              </w:rPr>
              <w:t>2015-2017</w:t>
            </w:r>
            <w:r w:rsidRPr="004539D1">
              <w:rPr>
                <w:rFonts w:cstheme="minorHAnsi"/>
              </w:rPr>
              <w:t>/F</w:t>
            </w:r>
            <w:r w:rsidRPr="004539D1">
              <w:rPr>
                <w:rFonts w:cstheme="minorHAnsi"/>
                <w:vertAlign w:val="subscript"/>
              </w:rPr>
              <w:t>MSY</w:t>
            </w:r>
          </w:p>
        </w:tc>
        <w:tc>
          <w:tcPr>
            <w:tcW w:w="1350" w:type="dxa"/>
          </w:tcPr>
          <w:p w14:paraId="654E0EE8" w14:textId="77777777" w:rsidR="00C13471" w:rsidRPr="004539D1" w:rsidRDefault="00C13471" w:rsidP="00C13471">
            <w:pPr>
              <w:widowControl w:val="0"/>
              <w:adjustRightInd w:val="0"/>
              <w:snapToGrid w:val="0"/>
              <w:ind w:right="162"/>
              <w:jc w:val="right"/>
              <w:rPr>
                <w:rFonts w:cstheme="minorHAnsi"/>
                <w:kern w:val="2"/>
                <w:lang w:eastAsia="ja-JP"/>
              </w:rPr>
            </w:pPr>
            <w:r w:rsidRPr="004539D1">
              <w:rPr>
                <w:rFonts w:cstheme="minorHAnsi"/>
                <w:kern w:val="2"/>
                <w:lang w:eastAsia="ja-JP"/>
              </w:rPr>
              <w:t>0.60</w:t>
            </w:r>
          </w:p>
        </w:tc>
        <w:tc>
          <w:tcPr>
            <w:tcW w:w="1890" w:type="dxa"/>
          </w:tcPr>
          <w:p w14:paraId="7E9ECDE4" w14:textId="77777777" w:rsidR="00C13471" w:rsidRPr="004539D1" w:rsidRDefault="00C13471" w:rsidP="00C13471">
            <w:pPr>
              <w:adjustRightInd w:val="0"/>
              <w:snapToGrid w:val="0"/>
              <w:jc w:val="right"/>
              <w:rPr>
                <w:rFonts w:cstheme="minorHAnsi"/>
              </w:rPr>
            </w:pPr>
            <w:r w:rsidRPr="004539D1">
              <w:rPr>
                <w:rFonts w:cstheme="minorHAnsi"/>
              </w:rPr>
              <w:t>0.77</w:t>
            </w:r>
          </w:p>
        </w:tc>
        <w:tc>
          <w:tcPr>
            <w:tcW w:w="2430" w:type="dxa"/>
          </w:tcPr>
          <w:p w14:paraId="2D4DAE72" w14:textId="77777777" w:rsidR="00C13471" w:rsidRPr="004539D1" w:rsidRDefault="00C13471" w:rsidP="00C13471">
            <w:pPr>
              <w:adjustRightInd w:val="0"/>
              <w:snapToGrid w:val="0"/>
              <w:jc w:val="right"/>
              <w:rPr>
                <w:rFonts w:cstheme="minorHAnsi"/>
              </w:rPr>
            </w:pPr>
            <w:r w:rsidRPr="004539D1">
              <w:rPr>
                <w:rFonts w:cstheme="minorHAnsi"/>
              </w:rPr>
              <w:t>0.52</w:t>
            </w:r>
          </w:p>
        </w:tc>
      </w:tr>
      <w:tr w:rsidR="00C13471" w:rsidRPr="004539D1" w14:paraId="2AE76850" w14:textId="77777777" w:rsidTr="006C5161">
        <w:trPr>
          <w:jc w:val="center"/>
        </w:trPr>
        <w:tc>
          <w:tcPr>
            <w:tcW w:w="3690" w:type="dxa"/>
          </w:tcPr>
          <w:p w14:paraId="241D7DB3" w14:textId="77777777" w:rsidR="00C13471" w:rsidRPr="004539D1" w:rsidRDefault="00C13471" w:rsidP="00C13471">
            <w:pPr>
              <w:adjustRightInd w:val="0"/>
              <w:snapToGrid w:val="0"/>
              <w:rPr>
                <w:rFonts w:cstheme="minorHAnsi"/>
              </w:rPr>
            </w:pPr>
            <w:r w:rsidRPr="004539D1">
              <w:rPr>
                <w:rFonts w:cstheme="minorHAnsi"/>
              </w:rPr>
              <w:t>F</w:t>
            </w:r>
            <w:r w:rsidRPr="004539D1">
              <w:rPr>
                <w:rFonts w:cstheme="minorHAnsi"/>
                <w:vertAlign w:val="subscript"/>
              </w:rPr>
              <w:t>2015-2017</w:t>
            </w:r>
            <w:r w:rsidRPr="004539D1">
              <w:rPr>
                <w:rFonts w:cstheme="minorHAnsi"/>
              </w:rPr>
              <w:t>/F</w:t>
            </w:r>
            <w:r w:rsidRPr="004539D1">
              <w:rPr>
                <w:rFonts w:cstheme="minorHAnsi"/>
                <w:vertAlign w:val="subscript"/>
              </w:rPr>
              <w:t>0.1</w:t>
            </w:r>
          </w:p>
        </w:tc>
        <w:tc>
          <w:tcPr>
            <w:tcW w:w="1350" w:type="dxa"/>
          </w:tcPr>
          <w:p w14:paraId="1A6C0FBA" w14:textId="77777777" w:rsidR="00C13471" w:rsidRPr="004539D1" w:rsidRDefault="00C13471" w:rsidP="00C13471">
            <w:pPr>
              <w:widowControl w:val="0"/>
              <w:adjustRightInd w:val="0"/>
              <w:snapToGrid w:val="0"/>
              <w:ind w:right="162"/>
              <w:jc w:val="right"/>
              <w:rPr>
                <w:rFonts w:cstheme="minorHAnsi"/>
                <w:kern w:val="2"/>
                <w:lang w:eastAsia="ja-JP"/>
              </w:rPr>
            </w:pPr>
            <w:r w:rsidRPr="004539D1">
              <w:rPr>
                <w:rFonts w:cstheme="minorHAnsi"/>
                <w:kern w:val="2"/>
                <w:lang w:eastAsia="ja-JP"/>
              </w:rPr>
              <w:t>0.57</w:t>
            </w:r>
          </w:p>
        </w:tc>
        <w:tc>
          <w:tcPr>
            <w:tcW w:w="1890" w:type="dxa"/>
          </w:tcPr>
          <w:p w14:paraId="3EA401ED" w14:textId="77777777" w:rsidR="00C13471" w:rsidRPr="004539D1" w:rsidRDefault="00C13471" w:rsidP="00C13471">
            <w:pPr>
              <w:adjustRightInd w:val="0"/>
              <w:snapToGrid w:val="0"/>
              <w:jc w:val="right"/>
              <w:rPr>
                <w:rFonts w:cstheme="minorHAnsi"/>
              </w:rPr>
            </w:pPr>
            <w:r w:rsidRPr="004539D1">
              <w:rPr>
                <w:rFonts w:cstheme="minorHAnsi"/>
              </w:rPr>
              <w:t>0.75</w:t>
            </w:r>
          </w:p>
        </w:tc>
        <w:tc>
          <w:tcPr>
            <w:tcW w:w="2430" w:type="dxa"/>
          </w:tcPr>
          <w:p w14:paraId="34EAB325" w14:textId="77777777" w:rsidR="00C13471" w:rsidRPr="004539D1" w:rsidRDefault="00C13471" w:rsidP="00C13471">
            <w:pPr>
              <w:adjustRightInd w:val="0"/>
              <w:snapToGrid w:val="0"/>
              <w:jc w:val="right"/>
              <w:rPr>
                <w:rFonts w:cstheme="minorHAnsi"/>
              </w:rPr>
            </w:pPr>
            <w:r w:rsidRPr="004539D1">
              <w:rPr>
                <w:rFonts w:cstheme="minorHAnsi"/>
              </w:rPr>
              <w:t>0.49</w:t>
            </w:r>
          </w:p>
        </w:tc>
      </w:tr>
      <w:tr w:rsidR="00C13471" w:rsidRPr="004539D1" w14:paraId="6CE4399E" w14:textId="77777777" w:rsidTr="006C5161">
        <w:trPr>
          <w:jc w:val="center"/>
        </w:trPr>
        <w:tc>
          <w:tcPr>
            <w:tcW w:w="3690" w:type="dxa"/>
          </w:tcPr>
          <w:p w14:paraId="0A997EB0" w14:textId="77777777" w:rsidR="00C13471" w:rsidRPr="004539D1" w:rsidRDefault="00C13471" w:rsidP="00C13471">
            <w:pPr>
              <w:adjustRightInd w:val="0"/>
              <w:snapToGrid w:val="0"/>
              <w:rPr>
                <w:rFonts w:cstheme="minorHAnsi"/>
              </w:rPr>
            </w:pPr>
            <w:r w:rsidRPr="004539D1">
              <w:rPr>
                <w:rFonts w:cstheme="minorHAnsi"/>
              </w:rPr>
              <w:t>F</w:t>
            </w:r>
            <w:r w:rsidRPr="004539D1">
              <w:rPr>
                <w:rFonts w:cstheme="minorHAnsi"/>
                <w:vertAlign w:val="subscript"/>
              </w:rPr>
              <w:t>2015-2017</w:t>
            </w:r>
            <w:r w:rsidRPr="004539D1">
              <w:rPr>
                <w:rFonts w:cstheme="minorHAnsi"/>
              </w:rPr>
              <w:t>/F</w:t>
            </w:r>
            <w:r w:rsidRPr="004539D1">
              <w:rPr>
                <w:rFonts w:cstheme="minorHAnsi"/>
                <w:vertAlign w:val="subscript"/>
              </w:rPr>
              <w:t>10%</w:t>
            </w:r>
          </w:p>
        </w:tc>
        <w:tc>
          <w:tcPr>
            <w:tcW w:w="1350" w:type="dxa"/>
          </w:tcPr>
          <w:p w14:paraId="3D9DCD33" w14:textId="77777777" w:rsidR="00C13471" w:rsidRPr="004539D1" w:rsidRDefault="00C13471" w:rsidP="00C13471">
            <w:pPr>
              <w:widowControl w:val="0"/>
              <w:adjustRightInd w:val="0"/>
              <w:snapToGrid w:val="0"/>
              <w:ind w:right="162"/>
              <w:jc w:val="right"/>
              <w:rPr>
                <w:rFonts w:cstheme="minorHAnsi"/>
                <w:kern w:val="2"/>
                <w:lang w:eastAsia="ja-JP"/>
              </w:rPr>
            </w:pPr>
            <w:r w:rsidRPr="004539D1">
              <w:rPr>
                <w:rFonts w:cstheme="minorHAnsi"/>
                <w:kern w:val="2"/>
                <w:lang w:eastAsia="ja-JP"/>
              </w:rPr>
              <w:t>0.55</w:t>
            </w:r>
          </w:p>
        </w:tc>
        <w:tc>
          <w:tcPr>
            <w:tcW w:w="1890" w:type="dxa"/>
          </w:tcPr>
          <w:p w14:paraId="69D5FE42" w14:textId="77777777" w:rsidR="00C13471" w:rsidRPr="004539D1" w:rsidRDefault="00C13471" w:rsidP="00C13471">
            <w:pPr>
              <w:adjustRightInd w:val="0"/>
              <w:snapToGrid w:val="0"/>
              <w:jc w:val="right"/>
              <w:rPr>
                <w:rFonts w:cstheme="minorHAnsi"/>
              </w:rPr>
            </w:pPr>
            <w:r w:rsidRPr="004539D1">
              <w:rPr>
                <w:rFonts w:cstheme="minorHAnsi"/>
              </w:rPr>
              <w:t>0.71</w:t>
            </w:r>
          </w:p>
        </w:tc>
        <w:tc>
          <w:tcPr>
            <w:tcW w:w="2430" w:type="dxa"/>
          </w:tcPr>
          <w:p w14:paraId="518816EC" w14:textId="77777777" w:rsidR="00C13471" w:rsidRPr="004539D1" w:rsidRDefault="00C13471" w:rsidP="00C13471">
            <w:pPr>
              <w:adjustRightInd w:val="0"/>
              <w:snapToGrid w:val="0"/>
              <w:jc w:val="right"/>
              <w:rPr>
                <w:rFonts w:cstheme="minorHAnsi"/>
              </w:rPr>
            </w:pPr>
            <w:r w:rsidRPr="004539D1">
              <w:rPr>
                <w:rFonts w:cstheme="minorHAnsi"/>
              </w:rPr>
              <w:t>0.48</w:t>
            </w:r>
          </w:p>
        </w:tc>
      </w:tr>
      <w:tr w:rsidR="00C13471" w:rsidRPr="004539D1" w14:paraId="467B5EDC" w14:textId="77777777" w:rsidTr="006C5161">
        <w:trPr>
          <w:jc w:val="center"/>
        </w:trPr>
        <w:tc>
          <w:tcPr>
            <w:tcW w:w="3690" w:type="dxa"/>
          </w:tcPr>
          <w:p w14:paraId="0A835318" w14:textId="77777777" w:rsidR="00C13471" w:rsidRPr="004539D1" w:rsidRDefault="00C13471" w:rsidP="00C13471">
            <w:pPr>
              <w:adjustRightInd w:val="0"/>
              <w:snapToGrid w:val="0"/>
              <w:rPr>
                <w:rFonts w:cstheme="minorHAnsi"/>
              </w:rPr>
            </w:pPr>
            <w:r w:rsidRPr="004539D1">
              <w:rPr>
                <w:rFonts w:cstheme="minorHAnsi"/>
              </w:rPr>
              <w:t>F</w:t>
            </w:r>
            <w:r w:rsidRPr="004539D1">
              <w:rPr>
                <w:rFonts w:cstheme="minorHAnsi"/>
                <w:vertAlign w:val="subscript"/>
              </w:rPr>
              <w:t>2015-2017</w:t>
            </w:r>
            <w:r w:rsidRPr="004539D1">
              <w:rPr>
                <w:rFonts w:cstheme="minorHAnsi"/>
              </w:rPr>
              <w:t>/F</w:t>
            </w:r>
            <w:r w:rsidRPr="004539D1">
              <w:rPr>
                <w:rFonts w:cstheme="minorHAnsi"/>
                <w:vertAlign w:val="subscript"/>
              </w:rPr>
              <w:t>20%</w:t>
            </w:r>
          </w:p>
        </w:tc>
        <w:tc>
          <w:tcPr>
            <w:tcW w:w="1350" w:type="dxa"/>
          </w:tcPr>
          <w:p w14:paraId="6B177A63" w14:textId="77777777" w:rsidR="00C13471" w:rsidRPr="004539D1" w:rsidRDefault="00C13471" w:rsidP="00C13471">
            <w:pPr>
              <w:widowControl w:val="0"/>
              <w:adjustRightInd w:val="0"/>
              <w:snapToGrid w:val="0"/>
              <w:ind w:right="162"/>
              <w:jc w:val="right"/>
              <w:rPr>
                <w:rFonts w:cstheme="minorHAnsi"/>
                <w:kern w:val="2"/>
                <w:lang w:eastAsia="ja-JP"/>
              </w:rPr>
            </w:pPr>
            <w:r w:rsidRPr="004539D1">
              <w:rPr>
                <w:rFonts w:cstheme="minorHAnsi"/>
                <w:kern w:val="2"/>
                <w:lang w:eastAsia="ja-JP"/>
              </w:rPr>
              <w:t>0.62</w:t>
            </w:r>
          </w:p>
        </w:tc>
        <w:tc>
          <w:tcPr>
            <w:tcW w:w="1890" w:type="dxa"/>
          </w:tcPr>
          <w:p w14:paraId="7EBF0A6B" w14:textId="77777777" w:rsidR="00C13471" w:rsidRPr="004539D1" w:rsidRDefault="00C13471" w:rsidP="00C13471">
            <w:pPr>
              <w:adjustRightInd w:val="0"/>
              <w:snapToGrid w:val="0"/>
              <w:jc w:val="right"/>
              <w:rPr>
                <w:rFonts w:cstheme="minorHAnsi"/>
              </w:rPr>
            </w:pPr>
            <w:r w:rsidRPr="004539D1">
              <w:rPr>
                <w:rFonts w:cstheme="minorHAnsi"/>
              </w:rPr>
              <w:t>0.80</w:t>
            </w:r>
          </w:p>
        </w:tc>
        <w:tc>
          <w:tcPr>
            <w:tcW w:w="2430" w:type="dxa"/>
          </w:tcPr>
          <w:p w14:paraId="01FF9ECA" w14:textId="77777777" w:rsidR="00C13471" w:rsidRPr="004539D1" w:rsidRDefault="00C13471" w:rsidP="00C13471">
            <w:pPr>
              <w:adjustRightInd w:val="0"/>
              <w:snapToGrid w:val="0"/>
              <w:jc w:val="right"/>
              <w:rPr>
                <w:rFonts w:cstheme="minorHAnsi"/>
              </w:rPr>
            </w:pPr>
            <w:r w:rsidRPr="004539D1">
              <w:rPr>
                <w:rFonts w:cstheme="minorHAnsi"/>
              </w:rPr>
              <w:t>0.54</w:t>
            </w:r>
          </w:p>
        </w:tc>
      </w:tr>
      <w:tr w:rsidR="00C13471" w:rsidRPr="004539D1" w14:paraId="014884EE" w14:textId="77777777" w:rsidTr="006C5161">
        <w:trPr>
          <w:jc w:val="center"/>
        </w:trPr>
        <w:tc>
          <w:tcPr>
            <w:tcW w:w="3690" w:type="dxa"/>
          </w:tcPr>
          <w:p w14:paraId="05F2EF9A" w14:textId="77777777" w:rsidR="00C13471" w:rsidRPr="004539D1" w:rsidRDefault="00C13471" w:rsidP="00C13471">
            <w:pPr>
              <w:adjustRightInd w:val="0"/>
              <w:snapToGrid w:val="0"/>
              <w:rPr>
                <w:rFonts w:cstheme="minorHAnsi"/>
              </w:rPr>
            </w:pPr>
            <w:r w:rsidRPr="004539D1">
              <w:rPr>
                <w:rFonts w:cstheme="minorHAnsi"/>
              </w:rPr>
              <w:t>F</w:t>
            </w:r>
            <w:r w:rsidRPr="004539D1">
              <w:rPr>
                <w:rFonts w:cstheme="minorHAnsi"/>
                <w:vertAlign w:val="subscript"/>
              </w:rPr>
              <w:t>2015-2017</w:t>
            </w:r>
            <w:r w:rsidRPr="004539D1">
              <w:rPr>
                <w:rFonts w:cstheme="minorHAnsi"/>
              </w:rPr>
              <w:t>/F</w:t>
            </w:r>
            <w:r w:rsidRPr="004539D1">
              <w:rPr>
                <w:rFonts w:cstheme="minorHAnsi"/>
                <w:vertAlign w:val="subscript"/>
              </w:rPr>
              <w:t>30%</w:t>
            </w:r>
          </w:p>
        </w:tc>
        <w:tc>
          <w:tcPr>
            <w:tcW w:w="1350" w:type="dxa"/>
          </w:tcPr>
          <w:p w14:paraId="53DE8A9C" w14:textId="77777777" w:rsidR="00C13471" w:rsidRPr="004539D1" w:rsidRDefault="00C13471" w:rsidP="00C13471">
            <w:pPr>
              <w:widowControl w:val="0"/>
              <w:adjustRightInd w:val="0"/>
              <w:snapToGrid w:val="0"/>
              <w:ind w:right="162"/>
              <w:jc w:val="right"/>
              <w:rPr>
                <w:rFonts w:cstheme="minorHAnsi"/>
                <w:kern w:val="2"/>
                <w:lang w:eastAsia="ja-JP"/>
              </w:rPr>
            </w:pPr>
            <w:r w:rsidRPr="004539D1">
              <w:rPr>
                <w:rFonts w:cstheme="minorHAnsi"/>
                <w:kern w:val="2"/>
                <w:lang w:eastAsia="ja-JP"/>
              </w:rPr>
              <w:t>0.71</w:t>
            </w:r>
          </w:p>
        </w:tc>
        <w:tc>
          <w:tcPr>
            <w:tcW w:w="1890" w:type="dxa"/>
          </w:tcPr>
          <w:p w14:paraId="1B786E32" w14:textId="77777777" w:rsidR="00C13471" w:rsidRPr="004539D1" w:rsidRDefault="00C13471" w:rsidP="00C13471">
            <w:pPr>
              <w:adjustRightInd w:val="0"/>
              <w:snapToGrid w:val="0"/>
              <w:jc w:val="right"/>
              <w:rPr>
                <w:rFonts w:cstheme="minorHAnsi"/>
              </w:rPr>
            </w:pPr>
            <w:r w:rsidRPr="004539D1">
              <w:rPr>
                <w:rFonts w:cstheme="minorHAnsi"/>
              </w:rPr>
              <w:t>0.91</w:t>
            </w:r>
          </w:p>
        </w:tc>
        <w:tc>
          <w:tcPr>
            <w:tcW w:w="2430" w:type="dxa"/>
          </w:tcPr>
          <w:p w14:paraId="762840BD" w14:textId="77777777" w:rsidR="00C13471" w:rsidRPr="004539D1" w:rsidRDefault="00C13471" w:rsidP="00C13471">
            <w:pPr>
              <w:adjustRightInd w:val="0"/>
              <w:snapToGrid w:val="0"/>
              <w:jc w:val="right"/>
              <w:rPr>
                <w:rFonts w:cstheme="minorHAnsi"/>
              </w:rPr>
            </w:pPr>
            <w:r w:rsidRPr="004539D1">
              <w:rPr>
                <w:rFonts w:cstheme="minorHAnsi"/>
              </w:rPr>
              <w:t>0.62</w:t>
            </w:r>
          </w:p>
        </w:tc>
      </w:tr>
      <w:tr w:rsidR="00C13471" w:rsidRPr="004539D1" w14:paraId="1D05BBA6" w14:textId="77777777" w:rsidTr="006C5161">
        <w:trPr>
          <w:jc w:val="center"/>
        </w:trPr>
        <w:tc>
          <w:tcPr>
            <w:tcW w:w="3690" w:type="dxa"/>
          </w:tcPr>
          <w:p w14:paraId="56205216" w14:textId="77777777" w:rsidR="00C13471" w:rsidRPr="004539D1" w:rsidRDefault="00C13471" w:rsidP="00C13471">
            <w:pPr>
              <w:adjustRightInd w:val="0"/>
              <w:snapToGrid w:val="0"/>
              <w:rPr>
                <w:rFonts w:cstheme="minorHAnsi"/>
              </w:rPr>
            </w:pPr>
            <w:r w:rsidRPr="004539D1">
              <w:rPr>
                <w:rFonts w:cstheme="minorHAnsi"/>
              </w:rPr>
              <w:t>F</w:t>
            </w:r>
            <w:r w:rsidRPr="004539D1">
              <w:rPr>
                <w:rFonts w:cstheme="minorHAnsi"/>
                <w:vertAlign w:val="subscript"/>
              </w:rPr>
              <w:t>2015-2017</w:t>
            </w:r>
            <w:r w:rsidRPr="004539D1">
              <w:rPr>
                <w:rFonts w:cstheme="minorHAnsi"/>
              </w:rPr>
              <w:t>/F</w:t>
            </w:r>
            <w:r w:rsidRPr="004539D1">
              <w:rPr>
                <w:rFonts w:cstheme="minorHAnsi"/>
                <w:vertAlign w:val="subscript"/>
              </w:rPr>
              <w:t>40%</w:t>
            </w:r>
          </w:p>
        </w:tc>
        <w:tc>
          <w:tcPr>
            <w:tcW w:w="1350" w:type="dxa"/>
          </w:tcPr>
          <w:p w14:paraId="30F9F59A" w14:textId="77777777" w:rsidR="00C13471" w:rsidRPr="004539D1" w:rsidRDefault="00C13471" w:rsidP="00C13471">
            <w:pPr>
              <w:widowControl w:val="0"/>
              <w:adjustRightInd w:val="0"/>
              <w:snapToGrid w:val="0"/>
              <w:ind w:right="162"/>
              <w:jc w:val="right"/>
              <w:rPr>
                <w:rFonts w:cstheme="minorHAnsi"/>
                <w:kern w:val="2"/>
                <w:lang w:eastAsia="ja-JP"/>
              </w:rPr>
            </w:pPr>
            <w:r w:rsidRPr="004539D1">
              <w:rPr>
                <w:rFonts w:cstheme="minorHAnsi"/>
                <w:kern w:val="2"/>
                <w:lang w:eastAsia="ja-JP"/>
              </w:rPr>
              <w:t>0.83</w:t>
            </w:r>
          </w:p>
        </w:tc>
        <w:tc>
          <w:tcPr>
            <w:tcW w:w="1890" w:type="dxa"/>
          </w:tcPr>
          <w:p w14:paraId="004FF190" w14:textId="77777777" w:rsidR="00C13471" w:rsidRPr="004539D1" w:rsidRDefault="00C13471" w:rsidP="00C13471">
            <w:pPr>
              <w:adjustRightInd w:val="0"/>
              <w:snapToGrid w:val="0"/>
              <w:jc w:val="right"/>
              <w:rPr>
                <w:rFonts w:cstheme="minorHAnsi"/>
              </w:rPr>
            </w:pPr>
            <w:r w:rsidRPr="004539D1">
              <w:rPr>
                <w:rFonts w:cstheme="minorHAnsi"/>
              </w:rPr>
              <w:t>1.06</w:t>
            </w:r>
          </w:p>
        </w:tc>
        <w:tc>
          <w:tcPr>
            <w:tcW w:w="2430" w:type="dxa"/>
          </w:tcPr>
          <w:p w14:paraId="15F2C1E9" w14:textId="77777777" w:rsidR="00C13471" w:rsidRPr="004539D1" w:rsidRDefault="00C13471" w:rsidP="00C13471">
            <w:pPr>
              <w:adjustRightInd w:val="0"/>
              <w:snapToGrid w:val="0"/>
              <w:jc w:val="right"/>
              <w:rPr>
                <w:rFonts w:cstheme="minorHAnsi"/>
              </w:rPr>
            </w:pPr>
            <w:r w:rsidRPr="004539D1">
              <w:rPr>
                <w:rFonts w:cstheme="minorHAnsi"/>
              </w:rPr>
              <w:t>0.72</w:t>
            </w:r>
          </w:p>
        </w:tc>
      </w:tr>
      <w:tr w:rsidR="00C13471" w:rsidRPr="004539D1" w14:paraId="400597FF" w14:textId="77777777" w:rsidTr="006C5161">
        <w:trPr>
          <w:jc w:val="center"/>
        </w:trPr>
        <w:tc>
          <w:tcPr>
            <w:tcW w:w="3690" w:type="dxa"/>
            <w:tcBorders>
              <w:bottom w:val="single" w:sz="12" w:space="0" w:color="auto"/>
            </w:tcBorders>
          </w:tcPr>
          <w:p w14:paraId="7FFC9364" w14:textId="77777777" w:rsidR="00C13471" w:rsidRPr="004539D1" w:rsidRDefault="00C13471" w:rsidP="00C13471">
            <w:pPr>
              <w:adjustRightInd w:val="0"/>
              <w:snapToGrid w:val="0"/>
              <w:rPr>
                <w:rFonts w:cstheme="minorHAnsi"/>
              </w:rPr>
            </w:pPr>
            <w:r w:rsidRPr="004539D1">
              <w:rPr>
                <w:rFonts w:cstheme="minorHAnsi"/>
              </w:rPr>
              <w:t>F</w:t>
            </w:r>
            <w:r w:rsidRPr="004539D1">
              <w:rPr>
                <w:rFonts w:cstheme="minorHAnsi"/>
                <w:vertAlign w:val="subscript"/>
              </w:rPr>
              <w:t>2015-2017</w:t>
            </w:r>
            <w:r w:rsidRPr="004539D1">
              <w:rPr>
                <w:rFonts w:cstheme="minorHAnsi"/>
              </w:rPr>
              <w:t>/F</w:t>
            </w:r>
            <w:r w:rsidRPr="004539D1">
              <w:rPr>
                <w:rFonts w:cstheme="minorHAnsi"/>
                <w:vertAlign w:val="subscript"/>
              </w:rPr>
              <w:t>50%</w:t>
            </w:r>
          </w:p>
        </w:tc>
        <w:tc>
          <w:tcPr>
            <w:tcW w:w="1350" w:type="dxa"/>
            <w:tcBorders>
              <w:bottom w:val="single" w:sz="12" w:space="0" w:color="auto"/>
            </w:tcBorders>
          </w:tcPr>
          <w:p w14:paraId="17AF6FAC" w14:textId="77777777" w:rsidR="00C13471" w:rsidRPr="004539D1" w:rsidRDefault="00C13471" w:rsidP="00C13471">
            <w:pPr>
              <w:widowControl w:val="0"/>
              <w:adjustRightInd w:val="0"/>
              <w:snapToGrid w:val="0"/>
              <w:ind w:right="162"/>
              <w:jc w:val="right"/>
              <w:rPr>
                <w:rFonts w:cstheme="minorHAnsi"/>
                <w:kern w:val="2"/>
                <w:lang w:eastAsia="ja-JP"/>
              </w:rPr>
            </w:pPr>
            <w:r w:rsidRPr="004539D1">
              <w:rPr>
                <w:rFonts w:cstheme="minorHAnsi"/>
                <w:kern w:val="2"/>
                <w:lang w:eastAsia="ja-JP"/>
              </w:rPr>
              <w:t>1.00</w:t>
            </w:r>
          </w:p>
        </w:tc>
        <w:tc>
          <w:tcPr>
            <w:tcW w:w="1890" w:type="dxa"/>
            <w:tcBorders>
              <w:bottom w:val="single" w:sz="12" w:space="0" w:color="auto"/>
            </w:tcBorders>
          </w:tcPr>
          <w:p w14:paraId="405BD534" w14:textId="77777777" w:rsidR="00C13471" w:rsidRPr="004539D1" w:rsidRDefault="00C13471" w:rsidP="00C13471">
            <w:pPr>
              <w:adjustRightInd w:val="0"/>
              <w:snapToGrid w:val="0"/>
              <w:jc w:val="right"/>
              <w:rPr>
                <w:rFonts w:cstheme="minorHAnsi"/>
              </w:rPr>
            </w:pPr>
            <w:r w:rsidRPr="004539D1">
              <w:rPr>
                <w:rFonts w:cstheme="minorHAnsi"/>
              </w:rPr>
              <w:t>1.27</w:t>
            </w:r>
          </w:p>
        </w:tc>
        <w:tc>
          <w:tcPr>
            <w:tcW w:w="2430" w:type="dxa"/>
            <w:tcBorders>
              <w:bottom w:val="single" w:sz="12" w:space="0" w:color="auto"/>
            </w:tcBorders>
          </w:tcPr>
          <w:p w14:paraId="1E0EFCD1" w14:textId="77777777" w:rsidR="00C13471" w:rsidRPr="004539D1" w:rsidRDefault="00C13471" w:rsidP="00C13471">
            <w:pPr>
              <w:adjustRightInd w:val="0"/>
              <w:snapToGrid w:val="0"/>
              <w:jc w:val="right"/>
              <w:rPr>
                <w:rFonts w:cstheme="minorHAnsi"/>
              </w:rPr>
            </w:pPr>
            <w:r w:rsidRPr="004539D1">
              <w:rPr>
                <w:rFonts w:cstheme="minorHAnsi"/>
              </w:rPr>
              <w:t>0.86</w:t>
            </w:r>
          </w:p>
        </w:tc>
      </w:tr>
      <w:tr w:rsidR="00C13471" w:rsidRPr="004539D1" w14:paraId="3E021C75" w14:textId="77777777" w:rsidTr="006C5161">
        <w:trPr>
          <w:jc w:val="center"/>
        </w:trPr>
        <w:tc>
          <w:tcPr>
            <w:tcW w:w="9360" w:type="dxa"/>
            <w:gridSpan w:val="4"/>
            <w:tcBorders>
              <w:top w:val="single" w:sz="12" w:space="0" w:color="auto"/>
            </w:tcBorders>
          </w:tcPr>
          <w:p w14:paraId="31A4E2B6" w14:textId="77777777" w:rsidR="00C13471" w:rsidRPr="004539D1" w:rsidRDefault="00C13471" w:rsidP="00C13471">
            <w:pPr>
              <w:adjustRightInd w:val="0"/>
              <w:snapToGrid w:val="0"/>
              <w:ind w:left="403" w:hanging="403"/>
              <w:rPr>
                <w:rFonts w:cstheme="minorHAnsi"/>
              </w:rPr>
            </w:pPr>
            <w:r w:rsidRPr="004539D1">
              <w:rPr>
                <w:rFonts w:cstheme="minorHAnsi"/>
              </w:rPr>
              <w:t xml:space="preserve">A – MSY includes male and female juvenile and adult fish </w:t>
            </w:r>
          </w:p>
          <w:p w14:paraId="1D9A2820" w14:textId="77777777" w:rsidR="00C13471" w:rsidRPr="004539D1" w:rsidRDefault="00C13471" w:rsidP="00C13471">
            <w:pPr>
              <w:adjustRightInd w:val="0"/>
              <w:snapToGrid w:val="0"/>
              <w:ind w:left="403" w:hanging="403"/>
              <w:rPr>
                <w:rFonts w:cstheme="minorHAnsi"/>
              </w:rPr>
            </w:pPr>
            <w:r w:rsidRPr="004539D1">
              <w:rPr>
                <w:rFonts w:cstheme="minorHAnsi"/>
              </w:rPr>
              <w:t>B – Spawning stock biomass (SSB) in this assessment refers to mature female biomass only.</w:t>
            </w:r>
          </w:p>
        </w:tc>
      </w:tr>
    </w:tbl>
    <w:p w14:paraId="720A7D42" w14:textId="77777777" w:rsidR="00C13471" w:rsidRPr="004539D1" w:rsidRDefault="00C13471" w:rsidP="008F7066">
      <w:pPr>
        <w:adjustRightInd w:val="0"/>
        <w:snapToGrid w:val="0"/>
        <w:spacing w:after="0" w:line="240" w:lineRule="auto"/>
        <w:rPr>
          <w:rFonts w:cstheme="minorHAnsi"/>
        </w:rPr>
      </w:pPr>
    </w:p>
    <w:p w14:paraId="17743521" w14:textId="77777777" w:rsidR="00C13471" w:rsidRPr="004539D1" w:rsidRDefault="00C13471" w:rsidP="008F7066">
      <w:pPr>
        <w:adjustRightInd w:val="0"/>
        <w:snapToGrid w:val="0"/>
        <w:spacing w:after="0" w:line="240" w:lineRule="auto"/>
        <w:rPr>
          <w:rFonts w:cstheme="minorHAnsi"/>
        </w:rPr>
      </w:pPr>
    </w:p>
    <w:p w14:paraId="6026F90B" w14:textId="77777777" w:rsidR="00C13471" w:rsidRPr="004539D1" w:rsidRDefault="00C13471" w:rsidP="008F7066">
      <w:pPr>
        <w:adjustRightInd w:val="0"/>
        <w:snapToGrid w:val="0"/>
        <w:spacing w:after="0" w:line="240" w:lineRule="auto"/>
        <w:rPr>
          <w:rFonts w:cstheme="minorHAnsi"/>
          <w:color w:val="000000"/>
        </w:rPr>
      </w:pPr>
      <w:r w:rsidRPr="004539D1">
        <w:rPr>
          <w:rFonts w:cstheme="minorHAnsi"/>
          <w:color w:val="000000"/>
        </w:rPr>
        <w:br w:type="page"/>
      </w:r>
    </w:p>
    <w:p w14:paraId="522D14D4" w14:textId="77777777" w:rsidR="00C13471" w:rsidRPr="004539D1" w:rsidRDefault="00C13471" w:rsidP="008F7066">
      <w:pPr>
        <w:adjustRightInd w:val="0"/>
        <w:snapToGrid w:val="0"/>
        <w:spacing w:after="0" w:line="240" w:lineRule="auto"/>
        <w:rPr>
          <w:rFonts w:cstheme="minorHAnsi"/>
          <w:color w:val="000000"/>
        </w:rPr>
      </w:pPr>
    </w:p>
    <w:p w14:paraId="2684F032" w14:textId="77777777" w:rsidR="00C13471" w:rsidRPr="004539D1" w:rsidRDefault="00C13471" w:rsidP="008F7066">
      <w:pPr>
        <w:adjustRightInd w:val="0"/>
        <w:snapToGrid w:val="0"/>
        <w:spacing w:after="0" w:line="240" w:lineRule="auto"/>
        <w:rPr>
          <w:rFonts w:cstheme="minorHAns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gridCol w:w="4496"/>
      </w:tblGrid>
      <w:tr w:rsidR="00C13471" w:rsidRPr="004539D1" w14:paraId="719185F8" w14:textId="77777777" w:rsidTr="006C5161">
        <w:tc>
          <w:tcPr>
            <w:tcW w:w="4854" w:type="dxa"/>
            <w:shd w:val="clear" w:color="auto" w:fill="auto"/>
          </w:tcPr>
          <w:p w14:paraId="54FF6636" w14:textId="77777777" w:rsidR="00C13471" w:rsidRPr="004539D1" w:rsidRDefault="00C13471" w:rsidP="00C13471">
            <w:pPr>
              <w:pStyle w:val="ListParagraph"/>
              <w:adjustRightInd w:val="0"/>
              <w:snapToGrid w:val="0"/>
              <w:ind w:left="-108"/>
              <w:jc w:val="center"/>
              <w:rPr>
                <w:rFonts w:asciiTheme="minorHAnsi" w:hAnsiTheme="minorHAnsi" w:cstheme="minorHAnsi"/>
                <w:bCs/>
              </w:rPr>
            </w:pPr>
            <w:r w:rsidRPr="004539D1">
              <w:rPr>
                <w:rFonts w:asciiTheme="minorHAnsi" w:hAnsiTheme="minorHAnsi" w:cstheme="minorHAnsi"/>
                <w:b/>
                <w:bCs/>
              </w:rPr>
              <w:t>A</w:t>
            </w:r>
          </w:p>
        </w:tc>
        <w:tc>
          <w:tcPr>
            <w:tcW w:w="4496" w:type="dxa"/>
            <w:shd w:val="clear" w:color="auto" w:fill="auto"/>
          </w:tcPr>
          <w:p w14:paraId="6500FA5C" w14:textId="77777777" w:rsidR="00C13471" w:rsidRPr="004539D1" w:rsidRDefault="00C13471" w:rsidP="00C13471">
            <w:pPr>
              <w:pStyle w:val="ListParagraph"/>
              <w:adjustRightInd w:val="0"/>
              <w:snapToGrid w:val="0"/>
              <w:ind w:left="-68"/>
              <w:jc w:val="center"/>
              <w:rPr>
                <w:rFonts w:asciiTheme="minorHAnsi" w:hAnsiTheme="minorHAnsi" w:cstheme="minorHAnsi"/>
                <w:bCs/>
              </w:rPr>
            </w:pPr>
            <w:r w:rsidRPr="004539D1">
              <w:rPr>
                <w:rFonts w:asciiTheme="minorHAnsi" w:hAnsiTheme="minorHAnsi" w:cstheme="minorHAnsi"/>
                <w:b/>
                <w:bCs/>
              </w:rPr>
              <w:t>B</w:t>
            </w:r>
          </w:p>
        </w:tc>
      </w:tr>
      <w:tr w:rsidR="00C13471" w:rsidRPr="004539D1" w14:paraId="5B569B12" w14:textId="77777777" w:rsidTr="006C5161">
        <w:trPr>
          <w:trHeight w:val="4320"/>
        </w:trPr>
        <w:tc>
          <w:tcPr>
            <w:tcW w:w="4854" w:type="dxa"/>
            <w:shd w:val="clear" w:color="auto" w:fill="auto"/>
          </w:tcPr>
          <w:p w14:paraId="76CD602B" w14:textId="77777777" w:rsidR="00C13471" w:rsidRPr="004539D1" w:rsidRDefault="00C13471" w:rsidP="00C13471">
            <w:pPr>
              <w:pStyle w:val="ListParagraph"/>
              <w:adjustRightInd w:val="0"/>
              <w:snapToGrid w:val="0"/>
              <w:ind w:left="-108"/>
              <w:jc w:val="center"/>
              <w:rPr>
                <w:rFonts w:asciiTheme="minorHAnsi" w:hAnsiTheme="minorHAnsi" w:cstheme="minorHAnsi"/>
                <w:b/>
                <w:bCs/>
              </w:rPr>
            </w:pPr>
            <w:r w:rsidRPr="004539D1">
              <w:rPr>
                <w:rFonts w:asciiTheme="minorHAnsi" w:hAnsiTheme="minorHAnsi" w:cstheme="minorHAnsi"/>
                <w:noProof/>
                <w:snapToGrid w:val="0"/>
                <w:color w:val="000000"/>
                <w:w w:val="0"/>
                <w:u w:color="000000"/>
                <w:bdr w:val="none" w:sz="0" w:space="0" w:color="000000"/>
                <w:shd w:val="clear" w:color="000000" w:fill="000000"/>
              </w:rPr>
              <w:drawing>
                <wp:inline distT="0" distB="0" distL="0" distR="0" wp14:anchorId="1D8A4FFE" wp14:editId="5E2B9060">
                  <wp:extent cx="2633472" cy="2633472"/>
                  <wp:effectExtent l="0" t="0" r="0" b="0"/>
                  <wp:docPr id="37" name="Picture 37" descr="C:\Users\steve.teo\Desktop\2020_NPALB_assessment\assessment_report\exec_summary\2019_Exec_Summary_Figs\Fig_ES07v2_Kobe_plot_2color\Fig_ES07_kobe_basecase_timeseries_SPR_B20pct_dynB0_red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teo\Desktop\2020_NPALB_assessment\assessment_report\exec_summary\2019_Exec_Summary_Figs\Fig_ES07v2_Kobe_plot_2color\Fig_ES07_kobe_basecase_timeseries_SPR_B20pct_dynB0_redgree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3472" cy="2633472"/>
                          </a:xfrm>
                          <a:prstGeom prst="rect">
                            <a:avLst/>
                          </a:prstGeom>
                          <a:noFill/>
                          <a:ln>
                            <a:noFill/>
                          </a:ln>
                        </pic:spPr>
                      </pic:pic>
                    </a:graphicData>
                  </a:graphic>
                </wp:inline>
              </w:drawing>
            </w:r>
          </w:p>
        </w:tc>
        <w:tc>
          <w:tcPr>
            <w:tcW w:w="4496" w:type="dxa"/>
            <w:shd w:val="clear" w:color="auto" w:fill="auto"/>
          </w:tcPr>
          <w:p w14:paraId="3FEF532C" w14:textId="77777777" w:rsidR="00C13471" w:rsidRPr="004539D1" w:rsidRDefault="00C13471" w:rsidP="00C13471">
            <w:pPr>
              <w:pStyle w:val="ListParagraph"/>
              <w:adjustRightInd w:val="0"/>
              <w:snapToGrid w:val="0"/>
              <w:ind w:left="-68"/>
              <w:jc w:val="center"/>
              <w:rPr>
                <w:rFonts w:asciiTheme="minorHAnsi" w:hAnsiTheme="minorHAnsi" w:cstheme="minorHAnsi"/>
                <w:b/>
                <w:bCs/>
              </w:rPr>
            </w:pPr>
            <w:r w:rsidRPr="004539D1">
              <w:rPr>
                <w:rFonts w:asciiTheme="minorHAnsi" w:hAnsiTheme="minorHAnsi" w:cstheme="minorHAnsi"/>
                <w:noProof/>
                <w:snapToGrid w:val="0"/>
                <w:color w:val="000000"/>
                <w:w w:val="0"/>
                <w:u w:color="000000"/>
                <w:bdr w:val="none" w:sz="0" w:space="0" w:color="000000"/>
                <w:shd w:val="clear" w:color="000000" w:fill="000000"/>
              </w:rPr>
              <w:drawing>
                <wp:inline distT="0" distB="0" distL="0" distR="0" wp14:anchorId="484E8931" wp14:editId="07F2003C">
                  <wp:extent cx="2651760" cy="2651760"/>
                  <wp:effectExtent l="0" t="0" r="0" b="0"/>
                  <wp:docPr id="38" name="Picture 38" descr="C:\Users\steve.teo\Desktop\2020_NPALB_assessment\assessment_report\exec_summary\2019_Exec_Summary_Figs\Fig_ES07v2_Kobe_plot_2color\Fig_ES08_kobe_sensitivity_endpt_SPR_B20pct_dynB0_red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ve.teo\Desktop\2020_NPALB_assessment\assessment_report\exec_summary\2019_Exec_Summary_Figs\Fig_ES07v2_Kobe_plot_2color\Fig_ES08_kobe_sensitivity_endpt_SPR_B20pct_dynB0_redgree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inline>
              </w:drawing>
            </w:r>
          </w:p>
        </w:tc>
      </w:tr>
      <w:tr w:rsidR="00C13471" w:rsidRPr="004539D1" w14:paraId="0C53BA44" w14:textId="77777777" w:rsidTr="006C5161">
        <w:tc>
          <w:tcPr>
            <w:tcW w:w="9350" w:type="dxa"/>
            <w:gridSpan w:val="2"/>
            <w:shd w:val="clear" w:color="auto" w:fill="auto"/>
          </w:tcPr>
          <w:p w14:paraId="2487E472" w14:textId="230671D3" w:rsidR="00C13471" w:rsidRPr="004539D1" w:rsidRDefault="00C13471" w:rsidP="00C13471">
            <w:pPr>
              <w:adjustRightInd w:val="0"/>
              <w:snapToGrid w:val="0"/>
              <w:jc w:val="both"/>
              <w:rPr>
                <w:rFonts w:cstheme="minorHAnsi"/>
                <w:bCs/>
              </w:rPr>
            </w:pPr>
            <w:r w:rsidRPr="004539D1">
              <w:rPr>
                <w:rFonts w:cstheme="minorHAnsi"/>
                <w:b/>
                <w:bCs/>
              </w:rPr>
              <w:t xml:space="preserve">Figure NPALB-1. </w:t>
            </w:r>
            <w:r w:rsidRPr="004539D1">
              <w:rPr>
                <w:rFonts w:cstheme="minorHAnsi"/>
                <w:bCs/>
              </w:rPr>
              <w:t>(</w:t>
            </w:r>
            <w:r w:rsidRPr="004539D1">
              <w:rPr>
                <w:rFonts w:cstheme="minorHAnsi"/>
                <w:b/>
                <w:bCs/>
              </w:rPr>
              <w:t>A</w:t>
            </w:r>
            <w:r w:rsidRPr="004539D1">
              <w:rPr>
                <w:rFonts w:cstheme="minorHAnsi"/>
                <w:bCs/>
              </w:rPr>
              <w:t>)</w:t>
            </w:r>
            <w:r w:rsidRPr="004539D1">
              <w:rPr>
                <w:rFonts w:cstheme="minorHAnsi"/>
              </w:rPr>
              <w:t xml:space="preserve">Kobe plot showing the status of the north Pacific albacore </w:t>
            </w:r>
            <w:r w:rsidRPr="004539D1">
              <w:rPr>
                <w:rFonts w:cstheme="minorHAnsi"/>
                <w:bCs/>
              </w:rPr>
              <w:t>(</w:t>
            </w:r>
            <w:r w:rsidRPr="004539D1">
              <w:rPr>
                <w:rFonts w:cstheme="minorHAnsi"/>
                <w:bCs/>
                <w:i/>
              </w:rPr>
              <w:t>Thunnus alalunga</w:t>
            </w:r>
            <w:r w:rsidRPr="004539D1">
              <w:rPr>
                <w:rFonts w:cstheme="minorHAnsi"/>
                <w:bCs/>
              </w:rPr>
              <w:t xml:space="preserve">) </w:t>
            </w:r>
            <w:r w:rsidRPr="004539D1">
              <w:rPr>
                <w:rFonts w:cstheme="minorHAnsi"/>
              </w:rPr>
              <w:t>stock relative to the 20%SSB</w:t>
            </w:r>
            <w:r w:rsidRPr="004539D1">
              <w:rPr>
                <w:rFonts w:cstheme="minorHAnsi"/>
                <w:vertAlign w:val="subscript"/>
              </w:rPr>
              <w:t>current, F=0</w:t>
            </w:r>
            <w:r w:rsidRPr="004539D1">
              <w:rPr>
                <w:rFonts w:cstheme="minorHAnsi"/>
              </w:rPr>
              <w:t xml:space="preserve"> biomass-based limit reference point, and equivalent fishing intensity (F</w:t>
            </w:r>
            <w:r w:rsidRPr="004539D1">
              <w:rPr>
                <w:rFonts w:cstheme="minorHAnsi"/>
                <w:vertAlign w:val="subscript"/>
              </w:rPr>
              <w:t>20%</w:t>
            </w:r>
            <w:r w:rsidRPr="004539D1">
              <w:rPr>
                <w:rFonts w:cstheme="minorHAnsi"/>
              </w:rPr>
              <w:t>; calculated as 1-SPR</w:t>
            </w:r>
            <w:r w:rsidRPr="004539D1">
              <w:rPr>
                <w:rFonts w:cstheme="minorHAnsi"/>
                <w:vertAlign w:val="subscript"/>
              </w:rPr>
              <w:t>20%</w:t>
            </w:r>
            <w:r w:rsidRPr="004539D1">
              <w:rPr>
                <w:rFonts w:cstheme="minorHAnsi"/>
              </w:rPr>
              <w:t>) over the base case modeling period (1994-2018). Blue triangle indicates the start year (1994) and black circle with 95% confidence intervals indicates the terminal year (2018). (</w:t>
            </w:r>
            <w:r w:rsidRPr="004539D1">
              <w:rPr>
                <w:rFonts w:cstheme="minorHAnsi"/>
                <w:b/>
              </w:rPr>
              <w:t>B</w:t>
            </w:r>
            <w:r w:rsidRPr="004539D1">
              <w:rPr>
                <w:rFonts w:cstheme="minorHAnsi"/>
              </w:rPr>
              <w:t xml:space="preserve">) Kobe plot showing current stock status and 95% confidence intervals of the base case model (black; closed circle), an important sensitivity run of CV = 0.06 for </w:t>
            </w:r>
            <w:proofErr w:type="spellStart"/>
            <w:r w:rsidRPr="004539D1">
              <w:rPr>
                <w:rFonts w:cstheme="minorHAnsi"/>
              </w:rPr>
              <w:t>L</w:t>
            </w:r>
            <w:r w:rsidRPr="004539D1">
              <w:rPr>
                <w:rFonts w:cstheme="minorHAnsi"/>
                <w:vertAlign w:val="subscript"/>
              </w:rPr>
              <w:t>inf</w:t>
            </w:r>
            <w:proofErr w:type="spellEnd"/>
            <w:r w:rsidRPr="004539D1">
              <w:rPr>
                <w:rFonts w:cstheme="minorHAnsi"/>
              </w:rPr>
              <w:t xml:space="preserve"> in the growth model (blue; open square), and a model representing an update of the 2017 base case model to 2020 data (red; open triangle). The coefficients of variation of the SSB/20%SSB</w:t>
            </w:r>
            <w:r w:rsidRPr="004539D1">
              <w:rPr>
                <w:rFonts w:cstheme="minorHAnsi"/>
                <w:vertAlign w:val="subscript"/>
              </w:rPr>
              <w:t>current, F=0</w:t>
            </w:r>
            <w:r w:rsidRPr="004539D1">
              <w:rPr>
                <w:rFonts w:cstheme="minorHAnsi"/>
              </w:rPr>
              <w:t xml:space="preserve"> ratios are assumed to be the same as for the SSB/20%SSB</w:t>
            </w:r>
            <w:r w:rsidRPr="004539D1">
              <w:rPr>
                <w:rFonts w:cstheme="minorHAnsi"/>
                <w:vertAlign w:val="subscript"/>
              </w:rPr>
              <w:t>0</w:t>
            </w:r>
            <w:r w:rsidRPr="004539D1">
              <w:rPr>
                <w:rFonts w:cstheme="minorHAnsi"/>
              </w:rPr>
              <w:t xml:space="preserve"> ratios. Fs in this figure </w:t>
            </w:r>
            <w:r w:rsidR="008F7066" w:rsidRPr="004539D1">
              <w:rPr>
                <w:rFonts w:cstheme="minorHAnsi"/>
              </w:rPr>
              <w:t>is</w:t>
            </w:r>
            <w:r w:rsidRPr="004539D1">
              <w:rPr>
                <w:rFonts w:cstheme="minorHAnsi"/>
              </w:rPr>
              <w:t xml:space="preserve"> not based on instantaneous fishing mortality. Instead, the Fs are indicators of fishing intensity based on SPR and calculated as 1-SPR so that the Fs reflects changes in fishing mortality. SPR is the equilibrium SSB per recruit that would result from the current year’s pattern and intensity of fishing mortality. Current fishing intensity is calculated as the average fishing intensity during 2015-2017 (F</w:t>
            </w:r>
            <w:r w:rsidRPr="004539D1">
              <w:rPr>
                <w:rFonts w:cstheme="minorHAnsi"/>
                <w:vertAlign w:val="subscript"/>
              </w:rPr>
              <w:t>2015-2017</w:t>
            </w:r>
            <w:r w:rsidRPr="004539D1">
              <w:rPr>
                <w:rFonts w:cstheme="minorHAnsi"/>
              </w:rPr>
              <w:t xml:space="preserve">), while current female spawning biomass refers to the terminal year of this assessment (i.e., 2018). The model representing an update of the 2017 base case model is highly </w:t>
            </w:r>
            <w:proofErr w:type="gramStart"/>
            <w:r w:rsidRPr="004539D1">
              <w:rPr>
                <w:rFonts w:cstheme="minorHAnsi"/>
              </w:rPr>
              <w:t>similar to</w:t>
            </w:r>
            <w:proofErr w:type="gramEnd"/>
            <w:r w:rsidRPr="004539D1">
              <w:rPr>
                <w:rFonts w:cstheme="minorHAnsi"/>
              </w:rPr>
              <w:t xml:space="preserve"> but not identical to the 2017 base case model due to changes in data preparation and model structure.</w:t>
            </w:r>
          </w:p>
        </w:tc>
      </w:tr>
    </w:tbl>
    <w:p w14:paraId="031D75CF" w14:textId="77777777" w:rsidR="00C13471" w:rsidRPr="004539D1" w:rsidRDefault="00C13471" w:rsidP="00A418A4">
      <w:pPr>
        <w:adjustRightInd w:val="0"/>
        <w:snapToGrid w:val="0"/>
        <w:spacing w:after="0" w:line="240" w:lineRule="auto"/>
        <w:rPr>
          <w:rFonts w:cstheme="minorHAnsi"/>
          <w:color w:val="000000"/>
        </w:rPr>
      </w:pPr>
      <w:r w:rsidRPr="004539D1">
        <w:rPr>
          <w:rFonts w:cstheme="minorHAnsi"/>
          <w:color w:val="000000"/>
        </w:rPr>
        <w:br w:type="page"/>
      </w:r>
    </w:p>
    <w:p w14:paraId="1C3D3508" w14:textId="77777777" w:rsidR="00C13471" w:rsidRPr="004539D1" w:rsidRDefault="00C13471" w:rsidP="00A418A4">
      <w:pPr>
        <w:adjustRightInd w:val="0"/>
        <w:snapToGrid w:val="0"/>
        <w:spacing w:after="0" w:line="240" w:lineRule="auto"/>
        <w:rPr>
          <w:rFonts w:cstheme="minorHAnsi"/>
        </w:rPr>
        <w:sectPr w:rsidR="00C13471" w:rsidRPr="004539D1" w:rsidSect="00F61E56">
          <w:footerReference w:type="default" r:id="rId19"/>
          <w:pgSz w:w="12240" w:h="15840" w:code="1"/>
          <w:pgMar w:top="1440" w:right="1440" w:bottom="1440" w:left="1440" w:header="708" w:footer="708" w:gutter="0"/>
          <w:pgNumType w:start="1"/>
          <w:cols w:space="708"/>
          <w:titlePg/>
          <w:docGrid w:linePitch="360"/>
        </w:sectPr>
      </w:pPr>
    </w:p>
    <w:p w14:paraId="73283B8A" w14:textId="77777777" w:rsidR="00C13471" w:rsidRPr="004539D1" w:rsidRDefault="00C13471" w:rsidP="00A418A4">
      <w:pPr>
        <w:adjustRightInd w:val="0"/>
        <w:snapToGrid w:val="0"/>
        <w:spacing w:after="0" w:line="240" w:lineRule="auto"/>
        <w:jc w:val="center"/>
        <w:rPr>
          <w:rFonts w:cstheme="minorHAnsi"/>
          <w:b/>
        </w:rPr>
      </w:pPr>
      <w:r w:rsidRPr="004539D1">
        <w:rPr>
          <w:rFonts w:cstheme="minorHAnsi"/>
          <w:b/>
          <w:noProof/>
        </w:rPr>
        <w:drawing>
          <wp:inline distT="0" distB="0" distL="0" distR="0" wp14:anchorId="69FFB2B2" wp14:editId="117739A6">
            <wp:extent cx="3608210" cy="2575774"/>
            <wp:effectExtent l="0" t="0" r="0" b="0"/>
            <wp:docPr id="55" name="図 1" descr="地図, 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49945" cy="2605567"/>
                    </a:xfrm>
                    <a:prstGeom prst="rect">
                      <a:avLst/>
                    </a:prstGeom>
                  </pic:spPr>
                </pic:pic>
              </a:graphicData>
            </a:graphic>
          </wp:inline>
        </w:drawing>
      </w:r>
    </w:p>
    <w:p w14:paraId="6981007C" w14:textId="77777777" w:rsidR="00C13471" w:rsidRPr="004539D1" w:rsidRDefault="00C13471" w:rsidP="00A418A4">
      <w:pPr>
        <w:adjustRightInd w:val="0"/>
        <w:snapToGrid w:val="0"/>
        <w:spacing w:after="0" w:line="240" w:lineRule="auto"/>
        <w:jc w:val="both"/>
        <w:rPr>
          <w:rFonts w:cstheme="minorHAnsi"/>
          <w:noProof/>
          <w:lang w:eastAsia="en-CA"/>
        </w:rPr>
      </w:pPr>
      <w:r w:rsidRPr="004539D1">
        <w:rPr>
          <w:rFonts w:cstheme="minorHAnsi"/>
          <w:b/>
        </w:rPr>
        <w:t>Figure</w:t>
      </w:r>
      <w:r w:rsidRPr="004539D1">
        <w:rPr>
          <w:rFonts w:cstheme="minorHAnsi"/>
          <w:b/>
          <w:bCs/>
        </w:rPr>
        <w:t xml:space="preserve"> NPALB-</w:t>
      </w:r>
      <w:r w:rsidRPr="004539D1">
        <w:rPr>
          <w:rFonts w:cstheme="minorHAnsi"/>
          <w:b/>
        </w:rPr>
        <w:t>2</w:t>
      </w:r>
      <w:r w:rsidRPr="004539D1">
        <w:rPr>
          <w:rFonts w:cstheme="minorHAnsi"/>
        </w:rPr>
        <w:t xml:space="preserve">. </w:t>
      </w:r>
      <w:r w:rsidRPr="004539D1">
        <w:rPr>
          <w:rFonts w:cstheme="minorHAnsi"/>
          <w:noProof/>
          <w:lang w:eastAsia="en-CA"/>
        </w:rPr>
        <w:t>Historical and future trajectory of north Pacific albacore (</w:t>
      </w:r>
      <w:r w:rsidRPr="004539D1">
        <w:rPr>
          <w:rFonts w:cstheme="minorHAnsi"/>
          <w:i/>
          <w:noProof/>
          <w:lang w:eastAsia="en-CA"/>
        </w:rPr>
        <w:t>Thunnus alalunga</w:t>
      </w:r>
      <w:r w:rsidRPr="004539D1">
        <w:rPr>
          <w:rFonts w:cstheme="minorHAnsi"/>
          <w:noProof/>
          <w:lang w:eastAsia="en-CA"/>
        </w:rPr>
        <w:t>) female spawning biomass (SSB) under a constant fishing intensity (F</w:t>
      </w:r>
      <w:r w:rsidRPr="004539D1">
        <w:rPr>
          <w:rFonts w:cstheme="minorHAnsi"/>
          <w:noProof/>
          <w:vertAlign w:val="subscript"/>
          <w:lang w:eastAsia="en-CA"/>
        </w:rPr>
        <w:t>2015-2017</w:t>
      </w:r>
      <w:r w:rsidRPr="004539D1">
        <w:rPr>
          <w:rFonts w:cstheme="minorHAnsi"/>
          <w:noProof/>
          <w:lang w:eastAsia="en-CA"/>
        </w:rPr>
        <w:t>) harvest scenario.</w:t>
      </w:r>
      <w:r w:rsidRPr="004539D1">
        <w:rPr>
          <w:rFonts w:cstheme="minorHAnsi"/>
        </w:rPr>
        <w:t xml:space="preserve"> Future recruitment is based on the expected recruitment variability</w:t>
      </w:r>
      <w:r w:rsidRPr="004539D1">
        <w:rPr>
          <w:rFonts w:cstheme="minorHAnsi"/>
          <w:noProof/>
          <w:lang w:eastAsia="en-CA"/>
        </w:rPr>
        <w:t>. Black line and gray area indicates maximum likelihood estimates and 95% confidence intervals (CI), respectively, of historical female SSB, which includes parameter uncertainty. Red line and red area indicates mean value and 95% CI of projected female SSB, which only includes future recruitment variability and SSB uncertainty in the terminal year. Dashed black line indicates the 20%SSB</w:t>
      </w:r>
      <w:r w:rsidRPr="004539D1">
        <w:rPr>
          <w:rFonts w:cstheme="minorHAnsi"/>
          <w:noProof/>
          <w:vertAlign w:val="subscript"/>
          <w:lang w:eastAsia="en-CA"/>
        </w:rPr>
        <w:t>current F=0</w:t>
      </w:r>
      <w:r w:rsidRPr="004539D1">
        <w:rPr>
          <w:rFonts w:cstheme="minorHAnsi"/>
          <w:noProof/>
          <w:lang w:eastAsia="en-CA"/>
        </w:rPr>
        <w:t xml:space="preserve"> limit reference point for 2018 (25,573 t).</w:t>
      </w:r>
    </w:p>
    <w:p w14:paraId="14FC8FDB" w14:textId="77777777" w:rsidR="00C13471" w:rsidRPr="004539D1" w:rsidRDefault="00C13471" w:rsidP="00A418A4">
      <w:pPr>
        <w:adjustRightInd w:val="0"/>
        <w:snapToGrid w:val="0"/>
        <w:spacing w:after="0" w:line="240" w:lineRule="auto"/>
        <w:jc w:val="both"/>
        <w:rPr>
          <w:rFonts w:cstheme="minorHAnsi"/>
          <w:noProof/>
          <w:lang w:eastAsia="en-CA"/>
        </w:rPr>
      </w:pPr>
    </w:p>
    <w:p w14:paraId="3827933C" w14:textId="77777777" w:rsidR="00C13471" w:rsidRPr="004539D1" w:rsidRDefault="00C13471" w:rsidP="00A418A4">
      <w:pPr>
        <w:adjustRightInd w:val="0"/>
        <w:snapToGrid w:val="0"/>
        <w:spacing w:after="0" w:line="240" w:lineRule="auto"/>
        <w:jc w:val="both"/>
        <w:rPr>
          <w:rFonts w:cstheme="minorHAnsi"/>
          <w:noProof/>
          <w:lang w:eastAsia="en-CA"/>
        </w:rPr>
      </w:pPr>
    </w:p>
    <w:p w14:paraId="614833FF" w14:textId="77777777" w:rsidR="00C13471" w:rsidRPr="004539D1" w:rsidRDefault="00C13471" w:rsidP="00A418A4">
      <w:pPr>
        <w:adjustRightInd w:val="0"/>
        <w:snapToGrid w:val="0"/>
        <w:spacing w:after="0" w:line="240" w:lineRule="auto"/>
        <w:jc w:val="center"/>
        <w:rPr>
          <w:rFonts w:cstheme="minorHAnsi"/>
        </w:rPr>
      </w:pPr>
      <w:r w:rsidRPr="004539D1">
        <w:rPr>
          <w:rFonts w:cstheme="minorHAnsi"/>
          <w:noProof/>
        </w:rPr>
        <w:drawing>
          <wp:inline distT="0" distB="0" distL="0" distR="0" wp14:anchorId="25EB46C2" wp14:editId="4E0655D2">
            <wp:extent cx="3940935" cy="2817979"/>
            <wp:effectExtent l="0" t="0" r="2540" b="1905"/>
            <wp:docPr id="56" name="図 4" descr="テキスト, 地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_C.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5044" cy="2835218"/>
                    </a:xfrm>
                    <a:prstGeom prst="rect">
                      <a:avLst/>
                    </a:prstGeom>
                  </pic:spPr>
                </pic:pic>
              </a:graphicData>
            </a:graphic>
          </wp:inline>
        </w:drawing>
      </w:r>
    </w:p>
    <w:p w14:paraId="29FF9741" w14:textId="2FCE6883" w:rsidR="00C13471" w:rsidRPr="004539D1" w:rsidRDefault="00C13471" w:rsidP="00A418A4">
      <w:pPr>
        <w:adjustRightInd w:val="0"/>
        <w:snapToGrid w:val="0"/>
        <w:spacing w:after="0" w:line="240" w:lineRule="auto"/>
        <w:jc w:val="both"/>
        <w:rPr>
          <w:rFonts w:cstheme="minorHAnsi"/>
          <w:noProof/>
          <w:lang w:eastAsia="en-CA"/>
        </w:rPr>
      </w:pPr>
      <w:r w:rsidRPr="004539D1">
        <w:rPr>
          <w:rFonts w:cstheme="minorHAnsi"/>
          <w:b/>
        </w:rPr>
        <w:t xml:space="preserve">Figure </w:t>
      </w:r>
      <w:r w:rsidRPr="004539D1">
        <w:rPr>
          <w:rFonts w:cstheme="minorHAnsi"/>
          <w:b/>
          <w:bCs/>
        </w:rPr>
        <w:t>NPALB-</w:t>
      </w:r>
      <w:r w:rsidRPr="004539D1">
        <w:rPr>
          <w:rFonts w:cstheme="minorHAnsi"/>
          <w:b/>
        </w:rPr>
        <w:t>3.</w:t>
      </w:r>
      <w:r w:rsidR="008F7066" w:rsidRPr="004539D1">
        <w:rPr>
          <w:rFonts w:cstheme="minorHAnsi"/>
          <w:b/>
        </w:rPr>
        <w:t xml:space="preserve"> </w:t>
      </w:r>
      <w:r w:rsidRPr="004539D1">
        <w:rPr>
          <w:rFonts w:cstheme="minorHAnsi"/>
          <w:noProof/>
          <w:lang w:eastAsia="en-CA"/>
        </w:rPr>
        <w:t>Historical and future trajectory of north Pacific albacore (</w:t>
      </w:r>
      <w:r w:rsidRPr="004539D1">
        <w:rPr>
          <w:rFonts w:cstheme="minorHAnsi"/>
          <w:i/>
          <w:noProof/>
          <w:lang w:eastAsia="en-CA"/>
        </w:rPr>
        <w:t>Thunnus alalunga</w:t>
      </w:r>
      <w:r w:rsidRPr="004539D1">
        <w:rPr>
          <w:rFonts w:cstheme="minorHAnsi"/>
          <w:noProof/>
          <w:lang w:eastAsia="en-CA"/>
        </w:rPr>
        <w:t>) female spawning biomass (SSB) under a constant catch (average 2013-2017 = 69,354 t) harvest scenario.</w:t>
      </w:r>
      <w:r w:rsidRPr="004539D1">
        <w:rPr>
          <w:rFonts w:cstheme="minorHAnsi"/>
        </w:rPr>
        <w:t xml:space="preserve"> Future recruitment is based on the expected recruitment variability</w:t>
      </w:r>
      <w:r w:rsidRPr="004539D1">
        <w:rPr>
          <w:rFonts w:cstheme="minorHAnsi"/>
          <w:noProof/>
          <w:lang w:eastAsia="en-CA"/>
        </w:rPr>
        <w:t>. Black line and blue area indicates maximum likelihood estimates and 95% confidence intervals (CI), respectively, of historical female SSB, which includes parameter uncertainty. Blue line and blue area indicates mean value and 95% CI of projected female SSB, which only includes future recruitment variability and SSB uncertainty in the terminal year. Dashed black line indicates the 20%SSB</w:t>
      </w:r>
      <w:r w:rsidRPr="004539D1">
        <w:rPr>
          <w:rFonts w:cstheme="minorHAnsi"/>
          <w:noProof/>
          <w:vertAlign w:val="subscript"/>
          <w:lang w:eastAsia="en-CA"/>
        </w:rPr>
        <w:t>current F=0</w:t>
      </w:r>
      <w:r w:rsidRPr="004539D1">
        <w:rPr>
          <w:rFonts w:cstheme="minorHAnsi"/>
          <w:noProof/>
          <w:lang w:eastAsia="en-CA"/>
        </w:rPr>
        <w:t xml:space="preserve"> limit reference point for 2018 (25,573 t).</w:t>
      </w:r>
    </w:p>
    <w:p w14:paraId="4F423163" w14:textId="133C2C06" w:rsidR="00CE2779" w:rsidRPr="004539D1" w:rsidRDefault="00CE2779" w:rsidP="00CE2779">
      <w:pPr>
        <w:pStyle w:val="Heading1"/>
        <w:adjustRightInd w:val="0"/>
        <w:snapToGrid w:val="0"/>
        <w:spacing w:before="0" w:line="240" w:lineRule="auto"/>
        <w:rPr>
          <w:rFonts w:asciiTheme="minorHAnsi" w:hAnsiTheme="minorHAnsi" w:cstheme="minorHAnsi"/>
          <w:b/>
          <w:sz w:val="24"/>
          <w:szCs w:val="24"/>
        </w:rPr>
      </w:pPr>
      <w:bookmarkStart w:id="3" w:name="_Toc159854729"/>
      <w:bookmarkEnd w:id="2"/>
      <w:r w:rsidRPr="004539D1">
        <w:rPr>
          <w:rFonts w:asciiTheme="minorHAnsi" w:hAnsiTheme="minorHAnsi" w:cstheme="minorHAnsi"/>
        </w:rPr>
        <w:t>SC15 2019 (FISHERY INDICATORS UPDATED)</w:t>
      </w:r>
      <w:bookmarkEnd w:id="3"/>
    </w:p>
    <w:p w14:paraId="396D8100" w14:textId="77777777" w:rsidR="00CE2779" w:rsidRPr="004539D1" w:rsidRDefault="00CE2779" w:rsidP="00CE2779">
      <w:pPr>
        <w:tabs>
          <w:tab w:val="left" w:pos="820"/>
        </w:tabs>
        <w:adjustRightInd w:val="0"/>
        <w:snapToGrid w:val="0"/>
        <w:spacing w:after="0" w:line="240" w:lineRule="auto"/>
        <w:rPr>
          <w:rFonts w:cstheme="minorHAnsi"/>
          <w:b/>
          <w:sz w:val="24"/>
          <w:szCs w:val="24"/>
        </w:rPr>
      </w:pPr>
    </w:p>
    <w:p w14:paraId="6A107A8A" w14:textId="77777777" w:rsidR="00CE2779" w:rsidRPr="004539D1" w:rsidRDefault="00CE2779" w:rsidP="00CE2779">
      <w:pPr>
        <w:pStyle w:val="ListParagraph"/>
        <w:numPr>
          <w:ilvl w:val="1"/>
          <w:numId w:val="5"/>
        </w:numPr>
        <w:adjustRightInd w:val="0"/>
        <w:snapToGrid w:val="0"/>
        <w:ind w:left="0" w:firstLine="0"/>
        <w:contextualSpacing w:val="0"/>
        <w:rPr>
          <w:rFonts w:asciiTheme="minorHAnsi" w:hAnsiTheme="minorHAnsi" w:cstheme="minorHAnsi"/>
          <w:b/>
        </w:rPr>
      </w:pPr>
      <w:r w:rsidRPr="004539D1">
        <w:rPr>
          <w:rFonts w:asciiTheme="minorHAnsi" w:hAnsiTheme="minorHAnsi" w:cstheme="minorHAnsi"/>
          <w:b/>
        </w:rPr>
        <w:t xml:space="preserve">Stock status and </w:t>
      </w:r>
      <w:proofErr w:type="gramStart"/>
      <w:r w:rsidRPr="004539D1">
        <w:rPr>
          <w:rFonts w:asciiTheme="minorHAnsi" w:hAnsiTheme="minorHAnsi" w:cstheme="minorHAnsi"/>
          <w:b/>
        </w:rPr>
        <w:t>trends</w:t>
      </w:r>
      <w:proofErr w:type="gramEnd"/>
    </w:p>
    <w:p w14:paraId="1539EA62" w14:textId="77777777" w:rsidR="00CE2779" w:rsidRPr="004539D1" w:rsidRDefault="00CE2779" w:rsidP="00CE2779">
      <w:pPr>
        <w:pStyle w:val="BodyText"/>
        <w:adjustRightInd w:val="0"/>
        <w:snapToGrid w:val="0"/>
        <w:jc w:val="both"/>
        <w:rPr>
          <w:rFonts w:asciiTheme="minorHAnsi" w:hAnsiTheme="minorHAnsi" w:cstheme="minorHAnsi"/>
        </w:rPr>
      </w:pPr>
    </w:p>
    <w:p w14:paraId="69E17ACE" w14:textId="77777777" w:rsidR="00CE2779" w:rsidRPr="004539D1" w:rsidRDefault="00CE2779" w:rsidP="008F7066">
      <w:pPr>
        <w:pStyle w:val="WCPFC"/>
        <w:numPr>
          <w:ilvl w:val="0"/>
          <w:numId w:val="12"/>
        </w:numPr>
        <w:adjustRightInd w:val="0"/>
        <w:spacing w:after="0"/>
        <w:ind w:left="0" w:firstLine="0"/>
        <w:rPr>
          <w:rFonts w:asciiTheme="minorHAnsi" w:hAnsiTheme="minorHAnsi" w:cstheme="minorHAnsi"/>
        </w:rPr>
      </w:pPr>
      <w:r w:rsidRPr="004539D1">
        <w:rPr>
          <w:rFonts w:asciiTheme="minorHAnsi" w:hAnsiTheme="minorHAnsi" w:cstheme="minorHAnsi"/>
        </w:rPr>
        <w:t xml:space="preserve">SC15 noted that no stock assessments were conducted for North Pacific albacore in 2019. Therefore, the stock status descriptions from SC13 are still current for North Pacific albacore. For further information on the stock status and trends from SC13, please see </w:t>
      </w:r>
      <w:hyperlink r:id="rId22" w:history="1">
        <w:r w:rsidRPr="004539D1">
          <w:rPr>
            <w:rStyle w:val="Hyperlink"/>
            <w:rFonts w:asciiTheme="minorHAnsi" w:hAnsiTheme="minorHAnsi" w:cstheme="minorHAnsi"/>
          </w:rPr>
          <w:t>https://www.wcpfc.int/node/29904</w:t>
        </w:r>
      </w:hyperlink>
      <w:r w:rsidRPr="004539D1">
        <w:rPr>
          <w:rFonts w:asciiTheme="minorHAnsi" w:hAnsiTheme="minorHAnsi" w:cstheme="minorHAnsi"/>
          <w:color w:val="0000FF"/>
        </w:rPr>
        <w:t xml:space="preserve">. </w:t>
      </w:r>
      <w:r w:rsidRPr="004539D1">
        <w:rPr>
          <w:rFonts w:asciiTheme="minorHAnsi" w:hAnsiTheme="minorHAnsi" w:cstheme="minorHAnsi"/>
        </w:rPr>
        <w:t>Updated information on catches was not compiled for and reviewed by</w:t>
      </w:r>
      <w:r w:rsidRPr="004539D1">
        <w:rPr>
          <w:rFonts w:asciiTheme="minorHAnsi" w:hAnsiTheme="minorHAnsi" w:cstheme="minorHAnsi"/>
          <w:spacing w:val="-19"/>
        </w:rPr>
        <w:t xml:space="preserve"> </w:t>
      </w:r>
      <w:r w:rsidRPr="004539D1">
        <w:rPr>
          <w:rFonts w:asciiTheme="minorHAnsi" w:hAnsiTheme="minorHAnsi" w:cstheme="minorHAnsi"/>
        </w:rPr>
        <w:t xml:space="preserve">SC15. </w:t>
      </w:r>
    </w:p>
    <w:p w14:paraId="0A311C70" w14:textId="77777777" w:rsidR="00CE2779" w:rsidRPr="004539D1" w:rsidRDefault="00CE2779" w:rsidP="00CE2779">
      <w:pPr>
        <w:adjustRightInd w:val="0"/>
        <w:snapToGrid w:val="0"/>
        <w:spacing w:after="0" w:line="240" w:lineRule="auto"/>
        <w:ind w:right="116"/>
        <w:jc w:val="both"/>
        <w:rPr>
          <w:rFonts w:cstheme="minorHAnsi"/>
          <w:bCs/>
        </w:rPr>
      </w:pPr>
    </w:p>
    <w:p w14:paraId="191CA1DF" w14:textId="77777777" w:rsidR="00CE2779" w:rsidRPr="004539D1" w:rsidRDefault="00CE2779" w:rsidP="008F7066">
      <w:pPr>
        <w:pStyle w:val="WCPFC"/>
        <w:numPr>
          <w:ilvl w:val="0"/>
          <w:numId w:val="12"/>
        </w:numPr>
        <w:adjustRightInd w:val="0"/>
        <w:spacing w:after="0"/>
        <w:ind w:left="0" w:firstLine="0"/>
        <w:rPr>
          <w:rFonts w:asciiTheme="minorHAnsi" w:hAnsiTheme="minorHAnsi" w:cstheme="minorHAnsi"/>
          <w:bCs/>
        </w:rPr>
      </w:pPr>
      <w:r w:rsidRPr="004539D1">
        <w:rPr>
          <w:rFonts w:asciiTheme="minorHAnsi" w:hAnsiTheme="minorHAnsi" w:cstheme="minorHAnsi"/>
        </w:rPr>
        <w:t>SC15</w:t>
      </w:r>
      <w:r w:rsidRPr="004539D1">
        <w:rPr>
          <w:rFonts w:asciiTheme="minorHAnsi" w:eastAsia="MS Mincho" w:hAnsiTheme="minorHAnsi" w:cstheme="minorHAnsi"/>
          <w:bCs/>
        </w:rPr>
        <w:t xml:space="preserve"> noted that the provisional total NPALB catch by Canada, Japan, USA, Korea, </w:t>
      </w:r>
      <w:proofErr w:type="gramStart"/>
      <w:r w:rsidRPr="004539D1">
        <w:rPr>
          <w:rFonts w:asciiTheme="minorHAnsi" w:eastAsia="MS Mincho" w:hAnsiTheme="minorHAnsi" w:cstheme="minorHAnsi"/>
          <w:bCs/>
        </w:rPr>
        <w:t>Mexico</w:t>
      </w:r>
      <w:proofErr w:type="gramEnd"/>
      <w:r w:rsidRPr="004539D1">
        <w:rPr>
          <w:rFonts w:asciiTheme="minorHAnsi" w:eastAsia="MS Mincho" w:hAnsiTheme="minorHAnsi" w:cstheme="minorHAnsi"/>
          <w:bCs/>
        </w:rPr>
        <w:t xml:space="preserve"> and Chinese Taipei in 2018 was 49,300 </w:t>
      </w:r>
      <w:proofErr w:type="spellStart"/>
      <w:r w:rsidRPr="004539D1">
        <w:rPr>
          <w:rFonts w:asciiTheme="minorHAnsi" w:eastAsia="MS Mincho" w:hAnsiTheme="minorHAnsi" w:cstheme="minorHAnsi"/>
          <w:bCs/>
        </w:rPr>
        <w:t>mt</w:t>
      </w:r>
      <w:proofErr w:type="spellEnd"/>
      <w:r w:rsidRPr="004539D1">
        <w:rPr>
          <w:rFonts w:asciiTheme="minorHAnsi" w:eastAsia="MS Mincho" w:hAnsiTheme="minorHAnsi" w:cstheme="minorHAnsi"/>
          <w:bCs/>
        </w:rPr>
        <w:t>, a 9% decrease from 2017 and a 24% decrease from the 2013-2017 average. The detailed catch information by fishery is available in ISC 2019 report (SC15-GN-IP-02). North Pacific albacore is caught by various fishing gears including longline, troll, and pole-and-line.</w:t>
      </w:r>
    </w:p>
    <w:p w14:paraId="7A7AAFCA" w14:textId="77777777" w:rsidR="00CE2779" w:rsidRPr="004539D1" w:rsidRDefault="00CE2779" w:rsidP="00CE2779">
      <w:pPr>
        <w:tabs>
          <w:tab w:val="left" w:pos="820"/>
        </w:tabs>
        <w:adjustRightInd w:val="0"/>
        <w:snapToGrid w:val="0"/>
        <w:spacing w:after="0" w:line="240" w:lineRule="auto"/>
        <w:jc w:val="both"/>
        <w:rPr>
          <w:rFonts w:cstheme="minorHAnsi"/>
          <w:b/>
        </w:rPr>
      </w:pPr>
    </w:p>
    <w:p w14:paraId="4FB6D909" w14:textId="77777777" w:rsidR="00CE2779" w:rsidRPr="004539D1" w:rsidRDefault="00CE2779" w:rsidP="00CE2779">
      <w:pPr>
        <w:pStyle w:val="ListParagraph"/>
        <w:numPr>
          <w:ilvl w:val="1"/>
          <w:numId w:val="5"/>
        </w:numPr>
        <w:adjustRightInd w:val="0"/>
        <w:snapToGrid w:val="0"/>
        <w:ind w:left="0" w:firstLine="0"/>
        <w:contextualSpacing w:val="0"/>
        <w:rPr>
          <w:rFonts w:asciiTheme="minorHAnsi" w:hAnsiTheme="minorHAnsi" w:cstheme="minorHAnsi"/>
          <w:b/>
        </w:rPr>
      </w:pPr>
      <w:r w:rsidRPr="004539D1">
        <w:rPr>
          <w:rFonts w:asciiTheme="minorHAnsi" w:hAnsiTheme="minorHAnsi" w:cstheme="minorHAnsi"/>
          <w:b/>
        </w:rPr>
        <w:t>Management Advice and implications</w:t>
      </w:r>
    </w:p>
    <w:p w14:paraId="34B10377" w14:textId="77777777" w:rsidR="00CE2779" w:rsidRPr="004539D1" w:rsidRDefault="00CE2779" w:rsidP="00CE2779">
      <w:pPr>
        <w:tabs>
          <w:tab w:val="left" w:pos="820"/>
        </w:tabs>
        <w:adjustRightInd w:val="0"/>
        <w:snapToGrid w:val="0"/>
        <w:spacing w:after="0" w:line="240" w:lineRule="auto"/>
        <w:jc w:val="both"/>
        <w:rPr>
          <w:rFonts w:cstheme="minorHAnsi"/>
          <w:b/>
        </w:rPr>
      </w:pPr>
    </w:p>
    <w:p w14:paraId="05DEB3DE" w14:textId="77777777" w:rsidR="00CE2779" w:rsidRPr="004539D1" w:rsidRDefault="00CE2779" w:rsidP="008F7066">
      <w:pPr>
        <w:pStyle w:val="WCPFC"/>
        <w:numPr>
          <w:ilvl w:val="0"/>
          <w:numId w:val="12"/>
        </w:numPr>
        <w:adjustRightInd w:val="0"/>
        <w:spacing w:after="0"/>
        <w:ind w:left="0" w:firstLine="0"/>
        <w:rPr>
          <w:rFonts w:asciiTheme="minorHAnsi" w:hAnsiTheme="minorHAnsi" w:cstheme="minorHAnsi"/>
          <w:bCs/>
        </w:rPr>
      </w:pPr>
      <w:r w:rsidRPr="004539D1">
        <w:rPr>
          <w:rFonts w:asciiTheme="minorHAnsi" w:hAnsiTheme="minorHAnsi" w:cstheme="minorHAnsi"/>
          <w:bCs/>
        </w:rPr>
        <w:t xml:space="preserve">SC15 noted that no management advice has been provided since SC13 for North Pacific albacore. Therefore, the advice from SC13 should be maintained, pending a new assessment or other new information. For further information on the management advice and implications from SC13, please see </w:t>
      </w:r>
      <w:hyperlink r:id="rId23" w:history="1">
        <w:r w:rsidRPr="004539D1">
          <w:rPr>
            <w:rStyle w:val="Hyperlink"/>
            <w:rFonts w:asciiTheme="minorHAnsi" w:hAnsiTheme="minorHAnsi" w:cstheme="minorHAnsi"/>
          </w:rPr>
          <w:t>https://www.wcpfc.int/node/29904</w:t>
        </w:r>
      </w:hyperlink>
    </w:p>
    <w:p w14:paraId="4BA6F1A3" w14:textId="77777777" w:rsidR="00CE2779" w:rsidRPr="004539D1" w:rsidRDefault="00CE2779" w:rsidP="00CE2779">
      <w:pPr>
        <w:kinsoku w:val="0"/>
        <w:overflowPunct w:val="0"/>
        <w:autoSpaceDE w:val="0"/>
        <w:autoSpaceDN w:val="0"/>
        <w:adjustRightInd w:val="0"/>
        <w:snapToGrid w:val="0"/>
        <w:spacing w:after="0" w:line="240" w:lineRule="auto"/>
        <w:jc w:val="both"/>
        <w:rPr>
          <w:rFonts w:cstheme="minorHAnsi"/>
          <w:b/>
          <w:bCs/>
        </w:rPr>
      </w:pPr>
    </w:p>
    <w:p w14:paraId="3D4C2367" w14:textId="77777777" w:rsidR="00CE2779" w:rsidRPr="004539D1" w:rsidRDefault="00CE2779" w:rsidP="00CE2779">
      <w:pPr>
        <w:pStyle w:val="Heading1"/>
        <w:adjustRightInd w:val="0"/>
        <w:snapToGrid w:val="0"/>
        <w:spacing w:before="0" w:line="240" w:lineRule="auto"/>
        <w:rPr>
          <w:rFonts w:asciiTheme="minorHAnsi" w:hAnsiTheme="minorHAnsi" w:cstheme="minorHAnsi"/>
          <w:sz w:val="22"/>
          <w:szCs w:val="22"/>
        </w:rPr>
      </w:pPr>
    </w:p>
    <w:p w14:paraId="50DF8455" w14:textId="6080D63E" w:rsidR="0045382F" w:rsidRPr="004539D1" w:rsidRDefault="0045382F" w:rsidP="00CE2779">
      <w:pPr>
        <w:pStyle w:val="Heading1"/>
        <w:adjustRightInd w:val="0"/>
        <w:snapToGrid w:val="0"/>
        <w:spacing w:before="0" w:line="240" w:lineRule="auto"/>
        <w:rPr>
          <w:rFonts w:asciiTheme="minorHAnsi" w:hAnsiTheme="minorHAnsi" w:cstheme="minorHAnsi"/>
          <w:b/>
          <w:sz w:val="24"/>
          <w:szCs w:val="24"/>
        </w:rPr>
      </w:pPr>
      <w:bookmarkStart w:id="4" w:name="_Toc159854730"/>
      <w:r w:rsidRPr="004539D1">
        <w:rPr>
          <w:rFonts w:asciiTheme="minorHAnsi" w:hAnsiTheme="minorHAnsi" w:cstheme="minorHAnsi"/>
        </w:rPr>
        <w:t>SC14 2018</w:t>
      </w:r>
      <w:r w:rsidR="00CE2779" w:rsidRPr="004539D1">
        <w:rPr>
          <w:rFonts w:asciiTheme="minorHAnsi" w:hAnsiTheme="minorHAnsi" w:cstheme="minorHAnsi"/>
        </w:rPr>
        <w:t xml:space="preserve"> (FISHERY INDICATORS UPDATED)</w:t>
      </w:r>
      <w:bookmarkEnd w:id="4"/>
    </w:p>
    <w:p w14:paraId="411A75F6" w14:textId="77777777" w:rsidR="0045382F" w:rsidRPr="004539D1" w:rsidRDefault="0045382F" w:rsidP="00CE2779">
      <w:pPr>
        <w:tabs>
          <w:tab w:val="left" w:pos="820"/>
        </w:tabs>
        <w:adjustRightInd w:val="0"/>
        <w:snapToGrid w:val="0"/>
        <w:spacing w:after="0" w:line="240" w:lineRule="auto"/>
        <w:rPr>
          <w:rFonts w:cstheme="minorHAnsi"/>
          <w:b/>
          <w:sz w:val="24"/>
          <w:szCs w:val="24"/>
        </w:rPr>
      </w:pPr>
    </w:p>
    <w:p w14:paraId="50930442" w14:textId="4C94CB5F" w:rsidR="0045382F" w:rsidRPr="004539D1" w:rsidRDefault="0045382F" w:rsidP="00CE2779">
      <w:pPr>
        <w:pStyle w:val="ListParagraph"/>
        <w:numPr>
          <w:ilvl w:val="0"/>
          <w:numId w:val="6"/>
        </w:numPr>
        <w:adjustRightInd w:val="0"/>
        <w:snapToGrid w:val="0"/>
        <w:ind w:left="0" w:firstLine="0"/>
        <w:rPr>
          <w:rFonts w:asciiTheme="minorHAnsi" w:hAnsiTheme="minorHAnsi" w:cstheme="minorHAnsi"/>
          <w:b/>
          <w:sz w:val="24"/>
          <w:szCs w:val="24"/>
        </w:rPr>
      </w:pPr>
      <w:r w:rsidRPr="004539D1">
        <w:rPr>
          <w:rFonts w:asciiTheme="minorHAnsi" w:hAnsiTheme="minorHAnsi" w:cstheme="minorHAnsi"/>
          <w:b/>
          <w:sz w:val="24"/>
          <w:szCs w:val="24"/>
        </w:rPr>
        <w:t>Stock Status</w:t>
      </w:r>
      <w:r w:rsidR="00CE2779" w:rsidRPr="004539D1">
        <w:rPr>
          <w:rFonts w:asciiTheme="minorHAnsi" w:hAnsiTheme="minorHAnsi" w:cstheme="minorHAnsi"/>
          <w:b/>
          <w:sz w:val="24"/>
          <w:szCs w:val="24"/>
        </w:rPr>
        <w:t xml:space="preserve"> and </w:t>
      </w:r>
      <w:proofErr w:type="gramStart"/>
      <w:r w:rsidR="00CE2779" w:rsidRPr="004539D1">
        <w:rPr>
          <w:rFonts w:asciiTheme="minorHAnsi" w:hAnsiTheme="minorHAnsi" w:cstheme="minorHAnsi"/>
          <w:b/>
          <w:sz w:val="24"/>
          <w:szCs w:val="24"/>
        </w:rPr>
        <w:t>trends</w:t>
      </w:r>
      <w:proofErr w:type="gramEnd"/>
    </w:p>
    <w:p w14:paraId="050242F3" w14:textId="77777777" w:rsidR="00CE2779" w:rsidRPr="004539D1" w:rsidRDefault="0045382F" w:rsidP="00CE2779">
      <w:pPr>
        <w:pStyle w:val="ListParagraph"/>
        <w:tabs>
          <w:tab w:val="left" w:pos="820"/>
        </w:tabs>
        <w:adjustRightInd w:val="0"/>
        <w:snapToGrid w:val="0"/>
        <w:ind w:left="0" w:right="116"/>
        <w:contextualSpacing w:val="0"/>
        <w:rPr>
          <w:rFonts w:asciiTheme="minorHAnsi" w:hAnsiTheme="minorHAnsi" w:cstheme="minorHAnsi"/>
          <w:b/>
        </w:rPr>
      </w:pPr>
      <w:r w:rsidRPr="004539D1">
        <w:rPr>
          <w:rFonts w:asciiTheme="minorHAnsi" w:hAnsiTheme="minorHAnsi" w:cstheme="minorHAnsi"/>
          <w:b/>
        </w:rPr>
        <w:tab/>
      </w:r>
    </w:p>
    <w:p w14:paraId="1F27BABC" w14:textId="4FF9B89E" w:rsidR="0045382F" w:rsidRPr="004539D1" w:rsidRDefault="0045382F" w:rsidP="00CE2779">
      <w:pPr>
        <w:pStyle w:val="ListParagraph"/>
        <w:numPr>
          <w:ilvl w:val="3"/>
          <w:numId w:val="5"/>
        </w:numPr>
        <w:tabs>
          <w:tab w:val="left" w:pos="820"/>
        </w:tabs>
        <w:adjustRightInd w:val="0"/>
        <w:snapToGrid w:val="0"/>
        <w:ind w:left="0" w:right="116" w:firstLine="0"/>
        <w:contextualSpacing w:val="0"/>
        <w:rPr>
          <w:rFonts w:asciiTheme="minorHAnsi" w:hAnsiTheme="minorHAnsi" w:cstheme="minorHAnsi"/>
          <w:bCs/>
        </w:rPr>
      </w:pPr>
      <w:r w:rsidRPr="004539D1">
        <w:rPr>
          <w:rFonts w:asciiTheme="minorHAnsi" w:hAnsiTheme="minorHAnsi" w:cstheme="minorHAnsi"/>
          <w:bCs/>
        </w:rPr>
        <w:t>SC14 noted that no stock assessments were conducted for North Pacific albacore in 2018. Therefore, the stock status descriptions from SC13 are still current for North Pacific albacore. Updated information on catches was not compiled for and reviewed by</w:t>
      </w:r>
      <w:r w:rsidRPr="004539D1">
        <w:rPr>
          <w:rFonts w:asciiTheme="minorHAnsi" w:hAnsiTheme="minorHAnsi" w:cstheme="minorHAnsi"/>
          <w:bCs/>
          <w:spacing w:val="-19"/>
        </w:rPr>
        <w:t xml:space="preserve"> </w:t>
      </w:r>
      <w:r w:rsidRPr="004539D1">
        <w:rPr>
          <w:rFonts w:asciiTheme="minorHAnsi" w:hAnsiTheme="minorHAnsi" w:cstheme="minorHAnsi"/>
          <w:bCs/>
        </w:rPr>
        <w:t xml:space="preserve">SC14. </w:t>
      </w:r>
    </w:p>
    <w:p w14:paraId="5233840E" w14:textId="77777777" w:rsidR="0045382F" w:rsidRPr="004539D1" w:rsidRDefault="0045382F" w:rsidP="00CE2779">
      <w:pPr>
        <w:pStyle w:val="BodyText"/>
        <w:adjustRightInd w:val="0"/>
        <w:snapToGrid w:val="0"/>
        <w:rPr>
          <w:rFonts w:asciiTheme="minorHAnsi" w:hAnsiTheme="minorHAnsi" w:cstheme="minorHAnsi"/>
          <w:b w:val="0"/>
          <w:sz w:val="24"/>
          <w:szCs w:val="24"/>
        </w:rPr>
      </w:pPr>
    </w:p>
    <w:p w14:paraId="1D5DEB0C" w14:textId="03805C50" w:rsidR="0045382F" w:rsidRPr="004539D1" w:rsidRDefault="0045382F" w:rsidP="00CE2779">
      <w:pPr>
        <w:pStyle w:val="ListParagraph"/>
        <w:numPr>
          <w:ilvl w:val="0"/>
          <w:numId w:val="6"/>
        </w:numPr>
        <w:adjustRightInd w:val="0"/>
        <w:snapToGrid w:val="0"/>
        <w:ind w:left="0" w:firstLine="0"/>
        <w:rPr>
          <w:rFonts w:asciiTheme="minorHAnsi" w:hAnsiTheme="minorHAnsi" w:cstheme="minorHAnsi"/>
          <w:b/>
          <w:sz w:val="24"/>
          <w:szCs w:val="24"/>
        </w:rPr>
      </w:pPr>
      <w:r w:rsidRPr="004539D1">
        <w:rPr>
          <w:rFonts w:asciiTheme="minorHAnsi" w:hAnsiTheme="minorHAnsi" w:cstheme="minorHAnsi"/>
          <w:b/>
          <w:sz w:val="24"/>
          <w:szCs w:val="24"/>
        </w:rPr>
        <w:t xml:space="preserve">Management </w:t>
      </w:r>
      <w:r w:rsidR="00CE2779" w:rsidRPr="004539D1">
        <w:rPr>
          <w:rFonts w:asciiTheme="minorHAnsi" w:hAnsiTheme="minorHAnsi" w:cstheme="minorHAnsi"/>
          <w:b/>
          <w:sz w:val="24"/>
          <w:szCs w:val="24"/>
        </w:rPr>
        <w:t>a</w:t>
      </w:r>
      <w:r w:rsidRPr="004539D1">
        <w:rPr>
          <w:rFonts w:asciiTheme="minorHAnsi" w:hAnsiTheme="minorHAnsi" w:cstheme="minorHAnsi"/>
          <w:b/>
          <w:sz w:val="24"/>
          <w:szCs w:val="24"/>
        </w:rPr>
        <w:t>dvice</w:t>
      </w:r>
      <w:r w:rsidR="00CE2779" w:rsidRPr="004539D1">
        <w:rPr>
          <w:rFonts w:asciiTheme="minorHAnsi" w:hAnsiTheme="minorHAnsi" w:cstheme="minorHAnsi"/>
          <w:b/>
          <w:sz w:val="24"/>
          <w:szCs w:val="24"/>
        </w:rPr>
        <w:t xml:space="preserve"> and implications</w:t>
      </w:r>
    </w:p>
    <w:p w14:paraId="150A217C" w14:textId="77777777" w:rsidR="00CE2779" w:rsidRPr="004539D1" w:rsidRDefault="00CE2779" w:rsidP="00CE2779">
      <w:pPr>
        <w:adjustRightInd w:val="0"/>
        <w:snapToGrid w:val="0"/>
        <w:spacing w:after="0" w:line="240" w:lineRule="auto"/>
        <w:jc w:val="both"/>
        <w:rPr>
          <w:rFonts w:cstheme="minorHAnsi"/>
          <w:b/>
        </w:rPr>
      </w:pPr>
    </w:p>
    <w:p w14:paraId="370EFCA8" w14:textId="1E71F67F" w:rsidR="0045382F" w:rsidRPr="004539D1" w:rsidRDefault="0045382F" w:rsidP="004D0AED">
      <w:pPr>
        <w:pStyle w:val="ListParagraph"/>
        <w:numPr>
          <w:ilvl w:val="3"/>
          <w:numId w:val="5"/>
        </w:numPr>
        <w:tabs>
          <w:tab w:val="left" w:pos="820"/>
        </w:tabs>
        <w:adjustRightInd w:val="0"/>
        <w:snapToGrid w:val="0"/>
        <w:ind w:left="0" w:right="116" w:firstLine="0"/>
        <w:contextualSpacing w:val="0"/>
        <w:rPr>
          <w:rFonts w:asciiTheme="minorHAnsi" w:hAnsiTheme="minorHAnsi" w:cstheme="minorHAnsi"/>
          <w:bCs/>
        </w:rPr>
      </w:pPr>
      <w:r w:rsidRPr="004539D1">
        <w:rPr>
          <w:rFonts w:asciiTheme="minorHAnsi" w:hAnsiTheme="minorHAnsi" w:cstheme="minorHAnsi"/>
          <w:bCs/>
        </w:rPr>
        <w:t>SC14 noted that no management advice has been provided since SC13</w:t>
      </w:r>
      <w:r w:rsidRPr="004539D1">
        <w:rPr>
          <w:rFonts w:asciiTheme="minorHAnsi" w:hAnsiTheme="minorHAnsi" w:cstheme="minorHAnsi"/>
          <w:bCs/>
          <w:sz w:val="24"/>
          <w:szCs w:val="24"/>
        </w:rPr>
        <w:t xml:space="preserve"> for North Pacific albacore</w:t>
      </w:r>
      <w:r w:rsidRPr="004539D1">
        <w:rPr>
          <w:rFonts w:asciiTheme="minorHAnsi" w:hAnsiTheme="minorHAnsi" w:cstheme="minorHAnsi"/>
          <w:bCs/>
        </w:rPr>
        <w:t>. Therefore, the advice from SC13 should be maintained, pending a new assessment or other new information.</w:t>
      </w:r>
      <w:bookmarkStart w:id="5" w:name="_Hlk521944878"/>
      <w:r w:rsidRPr="004539D1">
        <w:rPr>
          <w:rFonts w:asciiTheme="minorHAnsi" w:hAnsiTheme="minorHAnsi" w:cstheme="minorHAnsi"/>
          <w:bCs/>
        </w:rPr>
        <w:t xml:space="preserve"> For further information on the management advice and implications from SC13, please se</w:t>
      </w:r>
      <w:bookmarkEnd w:id="5"/>
      <w:r w:rsidRPr="004539D1">
        <w:rPr>
          <w:rFonts w:asciiTheme="minorHAnsi" w:hAnsiTheme="minorHAnsi" w:cstheme="minorHAnsi"/>
          <w:bCs/>
        </w:rPr>
        <w:t>e below.</w:t>
      </w:r>
    </w:p>
    <w:p w14:paraId="715C5CC0" w14:textId="38C29A62" w:rsidR="0045382F" w:rsidRPr="004539D1" w:rsidRDefault="0045382F" w:rsidP="004D0AED">
      <w:pPr>
        <w:pStyle w:val="Heading1"/>
        <w:adjustRightInd w:val="0"/>
        <w:snapToGrid w:val="0"/>
        <w:spacing w:before="0" w:line="240" w:lineRule="auto"/>
        <w:rPr>
          <w:rFonts w:asciiTheme="minorHAnsi" w:hAnsiTheme="minorHAnsi" w:cstheme="minorHAnsi"/>
          <w:sz w:val="22"/>
          <w:szCs w:val="22"/>
        </w:rPr>
      </w:pPr>
    </w:p>
    <w:p w14:paraId="1CA98389" w14:textId="77777777" w:rsidR="004D0AED" w:rsidRPr="004539D1" w:rsidRDefault="004D0AED" w:rsidP="004D0AED">
      <w:pPr>
        <w:spacing w:after="0" w:line="240" w:lineRule="auto"/>
        <w:rPr>
          <w:rFonts w:cstheme="minorHAnsi"/>
        </w:rPr>
      </w:pPr>
    </w:p>
    <w:p w14:paraId="0BB65068" w14:textId="2FB52254" w:rsidR="004B05DF" w:rsidRPr="004539D1" w:rsidRDefault="004B05DF" w:rsidP="004D0AED">
      <w:pPr>
        <w:pStyle w:val="Heading1"/>
        <w:adjustRightInd w:val="0"/>
        <w:snapToGrid w:val="0"/>
        <w:spacing w:before="0" w:line="240" w:lineRule="auto"/>
        <w:rPr>
          <w:rFonts w:asciiTheme="minorHAnsi" w:hAnsiTheme="minorHAnsi" w:cstheme="minorHAnsi"/>
        </w:rPr>
      </w:pPr>
      <w:bookmarkStart w:id="6" w:name="_Toc159854731"/>
      <w:bookmarkStart w:id="7" w:name="_Hlk522779638"/>
      <w:r w:rsidRPr="004539D1">
        <w:rPr>
          <w:rFonts w:asciiTheme="minorHAnsi" w:hAnsiTheme="minorHAnsi" w:cstheme="minorHAnsi"/>
        </w:rPr>
        <w:t xml:space="preserve">SC13 2017 </w:t>
      </w:r>
      <w:r w:rsidR="0038238E" w:rsidRPr="004539D1">
        <w:rPr>
          <w:rFonts w:asciiTheme="minorHAnsi" w:hAnsiTheme="minorHAnsi" w:cstheme="minorHAnsi"/>
        </w:rPr>
        <w:t>(STOCK ASSESSMENT CONDUCTED)</w:t>
      </w:r>
      <w:bookmarkEnd w:id="6"/>
    </w:p>
    <w:bookmarkEnd w:id="7"/>
    <w:p w14:paraId="6C375E46" w14:textId="77777777" w:rsidR="004B05DF" w:rsidRPr="004539D1" w:rsidRDefault="004B05DF" w:rsidP="004D0AED">
      <w:pPr>
        <w:adjustRightInd w:val="0"/>
        <w:snapToGrid w:val="0"/>
        <w:spacing w:after="0" w:line="240" w:lineRule="auto"/>
        <w:rPr>
          <w:rFonts w:cstheme="minorHAnsi"/>
        </w:rPr>
      </w:pPr>
    </w:p>
    <w:p w14:paraId="2328A1FC" w14:textId="6E620F20" w:rsidR="0038238E" w:rsidRPr="004539D1" w:rsidRDefault="0038238E" w:rsidP="004D0AED">
      <w:pPr>
        <w:pStyle w:val="WCPFC"/>
        <w:numPr>
          <w:ilvl w:val="0"/>
          <w:numId w:val="7"/>
        </w:numPr>
        <w:adjustRightInd w:val="0"/>
        <w:spacing w:after="0"/>
        <w:ind w:left="0" w:firstLine="0"/>
        <w:rPr>
          <w:rFonts w:asciiTheme="minorHAnsi" w:hAnsiTheme="minorHAnsi" w:cstheme="minorHAnsi"/>
        </w:rPr>
      </w:pPr>
      <w:r w:rsidRPr="004539D1">
        <w:rPr>
          <w:rFonts w:asciiTheme="minorHAnsi" w:hAnsiTheme="minorHAnsi" w:cstheme="minorHAnsi"/>
        </w:rPr>
        <w:t xml:space="preserve">ISC presented working paper </w:t>
      </w:r>
      <w:r w:rsidRPr="004539D1">
        <w:rPr>
          <w:rFonts w:asciiTheme="minorHAnsi" w:hAnsiTheme="minorHAnsi" w:cstheme="minorHAnsi"/>
          <w:b/>
        </w:rPr>
        <w:t>SC13-SA-WP-09</w:t>
      </w:r>
      <w:r w:rsidRPr="004539D1">
        <w:rPr>
          <w:rFonts w:asciiTheme="minorHAnsi" w:hAnsiTheme="minorHAnsi" w:cstheme="minorHAnsi"/>
        </w:rPr>
        <w:t xml:space="preserve"> Stock assessment of albacore tuna in the North Pacific Ocean in 2017.</w:t>
      </w:r>
    </w:p>
    <w:p w14:paraId="42EB22F4" w14:textId="77777777" w:rsidR="00CE2779" w:rsidRPr="004539D1" w:rsidRDefault="00CE2779" w:rsidP="00CE2779">
      <w:pPr>
        <w:pStyle w:val="WCPFC"/>
        <w:numPr>
          <w:ilvl w:val="0"/>
          <w:numId w:val="0"/>
        </w:numPr>
        <w:adjustRightInd w:val="0"/>
        <w:spacing w:after="0"/>
        <w:ind w:left="567"/>
        <w:rPr>
          <w:rFonts w:asciiTheme="minorHAnsi" w:hAnsiTheme="minorHAnsi" w:cstheme="minorHAnsi"/>
        </w:rPr>
      </w:pPr>
    </w:p>
    <w:p w14:paraId="68DB1271" w14:textId="4B1D40B9" w:rsidR="0038238E" w:rsidRPr="004539D1" w:rsidRDefault="0038238E" w:rsidP="00CE2779">
      <w:pPr>
        <w:pStyle w:val="ListParagraph"/>
        <w:numPr>
          <w:ilvl w:val="0"/>
          <w:numId w:val="4"/>
        </w:numPr>
        <w:adjustRightInd w:val="0"/>
        <w:snapToGrid w:val="0"/>
        <w:ind w:left="0" w:firstLine="0"/>
        <w:contextualSpacing w:val="0"/>
        <w:rPr>
          <w:rFonts w:asciiTheme="minorHAnsi" w:eastAsia="Batang" w:hAnsiTheme="minorHAnsi" w:cstheme="minorHAnsi"/>
          <w:b/>
          <w:lang w:eastAsia="ko-KR"/>
        </w:rPr>
      </w:pPr>
      <w:r w:rsidRPr="004539D1">
        <w:rPr>
          <w:rFonts w:asciiTheme="minorHAnsi" w:eastAsia="Batang" w:hAnsiTheme="minorHAnsi" w:cstheme="minorHAnsi"/>
          <w:b/>
          <w:lang w:eastAsia="ko-KR"/>
        </w:rPr>
        <w:t>S</w:t>
      </w:r>
      <w:r w:rsidR="00CE2779" w:rsidRPr="004539D1">
        <w:rPr>
          <w:rFonts w:asciiTheme="minorHAnsi" w:eastAsia="Batang" w:hAnsiTheme="minorHAnsi" w:cstheme="minorHAnsi"/>
          <w:b/>
          <w:lang w:eastAsia="ko-KR"/>
        </w:rPr>
        <w:t>tock s</w:t>
      </w:r>
      <w:r w:rsidRPr="004539D1">
        <w:rPr>
          <w:rFonts w:asciiTheme="minorHAnsi" w:eastAsia="Batang" w:hAnsiTheme="minorHAnsi" w:cstheme="minorHAnsi"/>
          <w:b/>
          <w:lang w:eastAsia="ko-KR"/>
        </w:rPr>
        <w:t xml:space="preserve">tatus and </w:t>
      </w:r>
      <w:proofErr w:type="gramStart"/>
      <w:r w:rsidRPr="004539D1">
        <w:rPr>
          <w:rFonts w:asciiTheme="minorHAnsi" w:eastAsia="Batang" w:hAnsiTheme="minorHAnsi" w:cstheme="minorHAnsi"/>
          <w:b/>
          <w:lang w:eastAsia="ko-KR"/>
        </w:rPr>
        <w:t>trends</w:t>
      </w:r>
      <w:proofErr w:type="gramEnd"/>
      <w:r w:rsidRPr="004539D1">
        <w:rPr>
          <w:rFonts w:asciiTheme="minorHAnsi" w:eastAsia="Batang" w:hAnsiTheme="minorHAnsi" w:cstheme="minorHAnsi"/>
          <w:b/>
          <w:lang w:eastAsia="ko-KR"/>
        </w:rPr>
        <w:t xml:space="preserve"> </w:t>
      </w:r>
    </w:p>
    <w:p w14:paraId="375F6759" w14:textId="77777777" w:rsidR="0038238E" w:rsidRPr="004539D1" w:rsidRDefault="0038238E" w:rsidP="00CE2779">
      <w:pPr>
        <w:adjustRightInd w:val="0"/>
        <w:snapToGrid w:val="0"/>
        <w:spacing w:after="0" w:line="240" w:lineRule="auto"/>
        <w:ind w:left="1440"/>
        <w:rPr>
          <w:rFonts w:cstheme="minorHAnsi"/>
          <w:highlight w:val="green"/>
          <w:lang w:eastAsia="ko-KR"/>
        </w:rPr>
      </w:pPr>
    </w:p>
    <w:p w14:paraId="620C8331" w14:textId="77777777" w:rsidR="0038238E" w:rsidRPr="004539D1" w:rsidRDefault="0038238E" w:rsidP="00CE2779">
      <w:pPr>
        <w:numPr>
          <w:ilvl w:val="0"/>
          <w:numId w:val="2"/>
        </w:numPr>
        <w:autoSpaceDE w:val="0"/>
        <w:autoSpaceDN w:val="0"/>
        <w:adjustRightInd w:val="0"/>
        <w:snapToGrid w:val="0"/>
        <w:spacing w:after="0" w:line="240" w:lineRule="auto"/>
        <w:ind w:left="0" w:firstLine="0"/>
        <w:jc w:val="both"/>
        <w:rPr>
          <w:rFonts w:cstheme="minorHAnsi"/>
          <w:bCs/>
          <w:lang w:val="en-AU"/>
        </w:rPr>
      </w:pPr>
      <w:r w:rsidRPr="004539D1">
        <w:rPr>
          <w:rFonts w:cstheme="minorHAnsi"/>
          <w:bCs/>
          <w:lang w:val="en-AU"/>
        </w:rPr>
        <w:t>SC13 noted that the ISC provided the following conclusions on the stock status of North Pacific albacore.</w:t>
      </w:r>
    </w:p>
    <w:p w14:paraId="1511E20B" w14:textId="77777777" w:rsidR="0038238E" w:rsidRPr="004539D1" w:rsidRDefault="0038238E" w:rsidP="00CE2779">
      <w:pPr>
        <w:autoSpaceDE w:val="0"/>
        <w:autoSpaceDN w:val="0"/>
        <w:adjustRightInd w:val="0"/>
        <w:snapToGrid w:val="0"/>
        <w:spacing w:after="0" w:line="240" w:lineRule="auto"/>
        <w:rPr>
          <w:rFonts w:cstheme="minorHAnsi"/>
          <w:bCs/>
          <w:lang w:val="en-AU"/>
        </w:rPr>
      </w:pPr>
    </w:p>
    <w:p w14:paraId="6A198168" w14:textId="77777777" w:rsidR="0038238E" w:rsidRPr="004539D1" w:rsidRDefault="0038238E" w:rsidP="00CE2779">
      <w:pPr>
        <w:numPr>
          <w:ilvl w:val="0"/>
          <w:numId w:val="2"/>
        </w:numPr>
        <w:autoSpaceDE w:val="0"/>
        <w:autoSpaceDN w:val="0"/>
        <w:adjustRightInd w:val="0"/>
        <w:snapToGrid w:val="0"/>
        <w:spacing w:after="0" w:line="240" w:lineRule="auto"/>
        <w:ind w:left="0" w:firstLine="0"/>
        <w:jc w:val="both"/>
        <w:rPr>
          <w:rFonts w:cstheme="minorHAnsi"/>
          <w:lang w:val="en-AU"/>
        </w:rPr>
      </w:pPr>
      <w:r w:rsidRPr="004539D1">
        <w:rPr>
          <w:rFonts w:cstheme="minorHAnsi"/>
          <w:lang w:val="en-AU"/>
        </w:rPr>
        <w:t>Stock status is depicted in relation to the limit reference point (LRP; 20%SSBcurrent, F=0) for the stock and the equivalent fishing intensity (F20%; calculated as 1-SPR20%) (Fig. NPALB-1). Fishing intensity (F, calculated as 1-SPR) is a measure of fishing mortality expressed as the decline in the proportion of the spawning biomass produced by each recruit relative to the unfished state. For example, a fishing intensity of 0.8 will result in a SSB of approximately 20% of SSB0 over the long run. Fishing intensity is considered a proxy of fishing mortality.</w:t>
      </w:r>
    </w:p>
    <w:p w14:paraId="6F866292" w14:textId="77777777" w:rsidR="0038238E" w:rsidRPr="004539D1" w:rsidRDefault="0038238E" w:rsidP="00CE2779">
      <w:pPr>
        <w:pStyle w:val="ListParagraph"/>
        <w:adjustRightInd w:val="0"/>
        <w:snapToGrid w:val="0"/>
        <w:contextualSpacing w:val="0"/>
        <w:rPr>
          <w:rFonts w:asciiTheme="minorHAnsi" w:hAnsiTheme="minorHAnsi" w:cstheme="minorHAnsi"/>
          <w:lang w:val="en-AU"/>
        </w:rPr>
      </w:pPr>
    </w:p>
    <w:p w14:paraId="11807B8B" w14:textId="77777777" w:rsidR="0038238E" w:rsidRPr="004539D1" w:rsidRDefault="0038238E" w:rsidP="00CE2779">
      <w:pPr>
        <w:numPr>
          <w:ilvl w:val="0"/>
          <w:numId w:val="2"/>
        </w:numPr>
        <w:autoSpaceDE w:val="0"/>
        <w:autoSpaceDN w:val="0"/>
        <w:adjustRightInd w:val="0"/>
        <w:snapToGrid w:val="0"/>
        <w:spacing w:after="0" w:line="240" w:lineRule="auto"/>
        <w:ind w:left="0" w:firstLine="0"/>
        <w:jc w:val="both"/>
        <w:rPr>
          <w:rFonts w:cstheme="minorHAnsi"/>
          <w:lang w:val="en-AU"/>
        </w:rPr>
      </w:pPr>
      <w:r w:rsidRPr="004539D1">
        <w:rPr>
          <w:rFonts w:cstheme="minorHAnsi"/>
          <w:lang w:val="en-AU"/>
        </w:rPr>
        <w:t>The Kobe plot shows that the estimated female SSB has never fallen below the LRP since 1993, albeit with large uncertainty in the terminal year (2015) estimates. Even when alternative hypotheses about key model uncertainties such as natural mortality and growth were evaluated, the point estimate of female SSB in 2015 (SSB2015) did not fall below the LRP, although the risk increases with these more extreme assumptions (Figure NPALB-1). The SSB2015 was estimated to be 80,618 t and was 2.47 times greater than the LRP threshold of 32,614 t (Table ES1). Current fishing intensity, F2012-2014 (calculated as 1- SPR2012-2014), was lower than potential F-based reference points identified for the north Pacific albacore stock, except F50% (calculated as 1-SPR50%) (Table NPALB-1).  Based on these findings, the following information on the status of the north Pacific albacore stock is provided:</w:t>
      </w:r>
    </w:p>
    <w:p w14:paraId="09104AC2" w14:textId="77777777" w:rsidR="0038238E" w:rsidRPr="004539D1" w:rsidRDefault="0038238E" w:rsidP="00CE2779">
      <w:pPr>
        <w:numPr>
          <w:ilvl w:val="0"/>
          <w:numId w:val="3"/>
        </w:numPr>
        <w:autoSpaceDE w:val="0"/>
        <w:autoSpaceDN w:val="0"/>
        <w:adjustRightInd w:val="0"/>
        <w:snapToGrid w:val="0"/>
        <w:spacing w:after="0" w:line="240" w:lineRule="auto"/>
        <w:ind w:left="1321" w:hanging="357"/>
        <w:jc w:val="both"/>
        <w:rPr>
          <w:rFonts w:cstheme="minorHAnsi"/>
          <w:lang w:val="en-AU"/>
        </w:rPr>
      </w:pPr>
      <w:r w:rsidRPr="004539D1">
        <w:rPr>
          <w:rFonts w:cstheme="minorHAnsi"/>
          <w:lang w:val="en-AU"/>
        </w:rPr>
        <w:t xml:space="preserve">The stock is likely not overfished relative to the limit reference point adopted by the Western and Central Pacific Fisheries Commission (20%SSBcurrent F=0), and </w:t>
      </w:r>
    </w:p>
    <w:p w14:paraId="51109DFC" w14:textId="77777777" w:rsidR="0038238E" w:rsidRPr="004539D1" w:rsidRDefault="0038238E" w:rsidP="00CE2779">
      <w:pPr>
        <w:numPr>
          <w:ilvl w:val="0"/>
          <w:numId w:val="3"/>
        </w:numPr>
        <w:autoSpaceDE w:val="0"/>
        <w:autoSpaceDN w:val="0"/>
        <w:adjustRightInd w:val="0"/>
        <w:snapToGrid w:val="0"/>
        <w:spacing w:after="0" w:line="240" w:lineRule="auto"/>
        <w:ind w:left="1321" w:hanging="357"/>
        <w:jc w:val="both"/>
        <w:rPr>
          <w:rFonts w:cstheme="minorHAnsi"/>
          <w:lang w:val="en-AU"/>
        </w:rPr>
      </w:pPr>
      <w:bookmarkStart w:id="8" w:name="_Hlk495391093"/>
      <w:r w:rsidRPr="004539D1">
        <w:rPr>
          <w:rFonts w:cstheme="minorHAnsi"/>
          <w:lang w:val="en-AU"/>
        </w:rPr>
        <w:t>No F-based reference points have been adopted to evaluate overfishing</w:t>
      </w:r>
      <w:bookmarkEnd w:id="8"/>
      <w:r w:rsidRPr="004539D1">
        <w:rPr>
          <w:rFonts w:cstheme="minorHAnsi"/>
          <w:lang w:val="en-AU"/>
        </w:rPr>
        <w:t>. Stock status was evaluated against seven potential reference points. Current fishing intensity (F2012-2014) is below six of the seven reference points (see ratios in Table ES-1), except F50%.</w:t>
      </w:r>
    </w:p>
    <w:p w14:paraId="0589BE84" w14:textId="77777777" w:rsidR="0038238E" w:rsidRPr="004539D1" w:rsidRDefault="0038238E" w:rsidP="00CE2779">
      <w:pPr>
        <w:adjustRightInd w:val="0"/>
        <w:snapToGrid w:val="0"/>
        <w:spacing w:after="0" w:line="240" w:lineRule="auto"/>
        <w:rPr>
          <w:rFonts w:cstheme="minorHAnsi"/>
          <w:b/>
          <w:lang w:eastAsia="ko-KR"/>
        </w:rPr>
      </w:pPr>
    </w:p>
    <w:p w14:paraId="105E8BFF" w14:textId="77777777" w:rsidR="0038238E" w:rsidRPr="004539D1" w:rsidRDefault="0038238E" w:rsidP="00CE2779">
      <w:pPr>
        <w:pStyle w:val="ListParagraph"/>
        <w:numPr>
          <w:ilvl w:val="0"/>
          <w:numId w:val="4"/>
        </w:numPr>
        <w:adjustRightInd w:val="0"/>
        <w:snapToGrid w:val="0"/>
        <w:ind w:left="0" w:firstLine="0"/>
        <w:contextualSpacing w:val="0"/>
        <w:rPr>
          <w:rFonts w:asciiTheme="minorHAnsi" w:eastAsia="Batang" w:hAnsiTheme="minorHAnsi" w:cstheme="minorHAnsi"/>
          <w:b/>
          <w:lang w:eastAsia="ko-KR"/>
        </w:rPr>
      </w:pPr>
      <w:r w:rsidRPr="004539D1">
        <w:rPr>
          <w:rFonts w:asciiTheme="minorHAnsi" w:eastAsia="Batang" w:hAnsiTheme="minorHAnsi" w:cstheme="minorHAnsi"/>
          <w:b/>
          <w:lang w:eastAsia="ko-KR"/>
        </w:rPr>
        <w:t xml:space="preserve">Management advice and implications </w:t>
      </w:r>
    </w:p>
    <w:p w14:paraId="162D7867" w14:textId="77777777" w:rsidR="0038238E" w:rsidRPr="004539D1" w:rsidRDefault="0038238E" w:rsidP="00CE2779">
      <w:pPr>
        <w:adjustRightInd w:val="0"/>
        <w:snapToGrid w:val="0"/>
        <w:spacing w:after="0" w:line="240" w:lineRule="auto"/>
        <w:rPr>
          <w:rFonts w:eastAsia="Malgun Gothic" w:cstheme="minorHAnsi"/>
          <w:lang w:eastAsia="ko-KR"/>
        </w:rPr>
      </w:pPr>
    </w:p>
    <w:p w14:paraId="6970B4D3" w14:textId="77777777" w:rsidR="0038238E" w:rsidRPr="004539D1" w:rsidRDefault="0038238E" w:rsidP="00CE2779">
      <w:pPr>
        <w:numPr>
          <w:ilvl w:val="0"/>
          <w:numId w:val="2"/>
        </w:numPr>
        <w:autoSpaceDE w:val="0"/>
        <w:autoSpaceDN w:val="0"/>
        <w:adjustRightInd w:val="0"/>
        <w:snapToGrid w:val="0"/>
        <w:spacing w:after="0" w:line="240" w:lineRule="auto"/>
        <w:ind w:left="0" w:firstLine="0"/>
        <w:jc w:val="both"/>
        <w:rPr>
          <w:rFonts w:cstheme="minorHAnsi"/>
          <w:lang w:val="en-AU"/>
        </w:rPr>
      </w:pPr>
      <w:r w:rsidRPr="004539D1">
        <w:rPr>
          <w:rFonts w:cstheme="minorHAnsi"/>
          <w:lang w:val="en-AU"/>
        </w:rPr>
        <w:t>SC13 noted the following conservation information from the ISC.</w:t>
      </w:r>
    </w:p>
    <w:p w14:paraId="23D5DF57" w14:textId="77777777" w:rsidR="0038238E" w:rsidRPr="004539D1" w:rsidRDefault="0038238E" w:rsidP="00CE2779">
      <w:pPr>
        <w:autoSpaceDE w:val="0"/>
        <w:autoSpaceDN w:val="0"/>
        <w:adjustRightInd w:val="0"/>
        <w:snapToGrid w:val="0"/>
        <w:spacing w:after="0" w:line="240" w:lineRule="auto"/>
        <w:rPr>
          <w:rFonts w:cstheme="minorHAnsi"/>
          <w:lang w:val="en-AU"/>
        </w:rPr>
      </w:pPr>
    </w:p>
    <w:p w14:paraId="5EE5DA88" w14:textId="77777777" w:rsidR="0038238E" w:rsidRPr="004539D1" w:rsidRDefault="0038238E" w:rsidP="00CE2779">
      <w:pPr>
        <w:numPr>
          <w:ilvl w:val="0"/>
          <w:numId w:val="2"/>
        </w:numPr>
        <w:autoSpaceDE w:val="0"/>
        <w:autoSpaceDN w:val="0"/>
        <w:adjustRightInd w:val="0"/>
        <w:snapToGrid w:val="0"/>
        <w:spacing w:after="0" w:line="240" w:lineRule="auto"/>
        <w:ind w:left="0" w:firstLine="0"/>
        <w:jc w:val="both"/>
        <w:rPr>
          <w:rFonts w:cstheme="minorHAnsi"/>
          <w:lang w:val="en-AU"/>
        </w:rPr>
      </w:pPr>
      <w:r w:rsidRPr="004539D1">
        <w:rPr>
          <w:rFonts w:cstheme="minorHAnsi"/>
          <w:lang w:val="en-AU"/>
        </w:rPr>
        <w:t>The current exploitation level (F2010–2012) is estimated to be below that of F2002–2004, which led to the implementation of conservation and management measures (CMMs) for the North Pacific albacore stock in the EPO (IATTC Resolution C-05-02 supplemented by Resolution C-13-03) and the WCNPO (WCPFC CMM 2005-03). Assuming average historical recruitment and fishing at a constant current F, median female SSB is expected to remain relatively stable between the 25th and median historical percentiles over both the short- and long-term, with a 13% probability that female SSB falls below the SSB-ATHL threshold during a 25-year projection period. In contrast, if a low recruitment scenario is assumed, then median female SSB declines under both harvest scenarios (constant F2010–2012, constant F2002–2004) and the probability that it falls below the SSB-ATHL threshold in the 25-year projection period increases to 65% as calculated by the ALBWG and noted above. The high recruitment scenario is more optimistic, with median future SSB increasing above the historical median SSB and the estimated probability of falling below the SSB-ATHL threshold is correspondingly low at 3%.</w:t>
      </w:r>
    </w:p>
    <w:p w14:paraId="32FD69A6" w14:textId="77777777" w:rsidR="0038238E" w:rsidRPr="004539D1" w:rsidRDefault="0038238E" w:rsidP="00CE2779">
      <w:pPr>
        <w:pStyle w:val="WCPFC"/>
        <w:numPr>
          <w:ilvl w:val="0"/>
          <w:numId w:val="0"/>
        </w:numPr>
        <w:adjustRightInd w:val="0"/>
        <w:spacing w:after="0"/>
        <w:rPr>
          <w:rFonts w:asciiTheme="minorHAnsi" w:hAnsiTheme="minorHAnsi" w:cstheme="minorHAnsi"/>
        </w:rPr>
      </w:pPr>
    </w:p>
    <w:p w14:paraId="2EA4672A" w14:textId="77777777" w:rsidR="00CE2779" w:rsidRPr="004539D1" w:rsidRDefault="00CE2779">
      <w:pPr>
        <w:rPr>
          <w:rFonts w:cstheme="minorHAnsi"/>
        </w:rPr>
      </w:pPr>
      <w:r w:rsidRPr="004539D1">
        <w:rPr>
          <w:rFonts w:cstheme="minorHAnsi"/>
        </w:rPr>
        <w:br w:type="page"/>
      </w:r>
    </w:p>
    <w:tbl>
      <w:tblPr>
        <w:tblW w:w="9450" w:type="dxa"/>
        <w:jc w:val="center"/>
        <w:tblLook w:val="04A0" w:firstRow="1" w:lastRow="0" w:firstColumn="1" w:lastColumn="0" w:noHBand="0" w:noVBand="1"/>
      </w:tblPr>
      <w:tblGrid>
        <w:gridCol w:w="2970"/>
        <w:gridCol w:w="2160"/>
        <w:gridCol w:w="2160"/>
        <w:gridCol w:w="2160"/>
      </w:tblGrid>
      <w:tr w:rsidR="0038238E" w:rsidRPr="004539D1" w14:paraId="0843FB97" w14:textId="77777777" w:rsidTr="00CE2779">
        <w:trPr>
          <w:jc w:val="center"/>
        </w:trPr>
        <w:tc>
          <w:tcPr>
            <w:tcW w:w="9450" w:type="dxa"/>
            <w:gridSpan w:val="4"/>
            <w:tcBorders>
              <w:bottom w:val="single" w:sz="4" w:space="0" w:color="auto"/>
            </w:tcBorders>
            <w:shd w:val="clear" w:color="auto" w:fill="auto"/>
          </w:tcPr>
          <w:p w14:paraId="3ECAE1C4" w14:textId="45999830" w:rsidR="00CE2779" w:rsidRPr="004539D1" w:rsidRDefault="0038238E" w:rsidP="00CE2779">
            <w:pPr>
              <w:adjustRightInd w:val="0"/>
              <w:snapToGrid w:val="0"/>
              <w:spacing w:after="0" w:line="240" w:lineRule="auto"/>
              <w:ind w:left="-103"/>
              <w:jc w:val="both"/>
              <w:rPr>
                <w:rFonts w:cstheme="minorHAnsi"/>
                <w:lang w:eastAsia="ko-KR" w:bidi="th-TH"/>
              </w:rPr>
            </w:pPr>
            <w:r w:rsidRPr="004539D1">
              <w:rPr>
                <w:rFonts w:cstheme="minorHAnsi"/>
                <w:lang w:eastAsia="ko-KR" w:bidi="th-TH"/>
              </w:rPr>
              <w:br w:type="page"/>
            </w:r>
            <w:r w:rsidRPr="004539D1">
              <w:rPr>
                <w:rFonts w:cstheme="minorHAnsi"/>
                <w:lang w:eastAsia="ko-KR" w:bidi="th-TH"/>
              </w:rPr>
              <w:br w:type="page"/>
            </w:r>
            <w:bookmarkStart w:id="9" w:name="_Hlk491599484"/>
            <w:r w:rsidRPr="004539D1">
              <w:rPr>
                <w:rFonts w:cstheme="minorHAnsi"/>
                <w:b/>
                <w:lang w:eastAsia="ko-KR" w:bidi="th-TH"/>
              </w:rPr>
              <w:t>Table NPALB-1</w:t>
            </w:r>
            <w:r w:rsidRPr="004539D1">
              <w:rPr>
                <w:rFonts w:cstheme="minorHAnsi"/>
                <w:lang w:eastAsia="ko-KR" w:bidi="th-TH"/>
              </w:rPr>
              <w:t>. Estimates of maximum sustainable yield (MSY), female spawning biomass (SSB) quantities, and fishing intensity (F) based reference point ratios for north Pacific albacore tuna for the base case assessment and important sensitivity analyses</w:t>
            </w:r>
            <w:bookmarkEnd w:id="9"/>
            <w:r w:rsidRPr="004539D1">
              <w:rPr>
                <w:rFonts w:cstheme="minorHAnsi"/>
                <w:lang w:eastAsia="ko-KR" w:bidi="th-TH"/>
              </w:rPr>
              <w:t>. SSB</w:t>
            </w:r>
            <w:r w:rsidRPr="004539D1">
              <w:rPr>
                <w:rFonts w:cstheme="minorHAnsi"/>
                <w:i/>
                <w:lang w:eastAsia="ko-KR" w:bidi="th-TH"/>
              </w:rPr>
              <w:t>0</w:t>
            </w:r>
            <w:r w:rsidRPr="004539D1">
              <w:rPr>
                <w:rFonts w:cstheme="minorHAnsi"/>
                <w:lang w:eastAsia="ko-KR" w:bidi="th-TH"/>
              </w:rPr>
              <w:t xml:space="preserve"> and SSB</w:t>
            </w:r>
            <w:r w:rsidRPr="004539D1">
              <w:rPr>
                <w:rFonts w:cstheme="minorHAnsi"/>
                <w:i/>
                <w:lang w:eastAsia="ko-KR" w:bidi="th-TH"/>
              </w:rPr>
              <w:t>MSY</w:t>
            </w:r>
            <w:r w:rsidRPr="004539D1">
              <w:rPr>
                <w:rFonts w:cstheme="minorHAnsi"/>
                <w:lang w:eastAsia="ko-KR" w:bidi="th-TH"/>
              </w:rPr>
              <w:t xml:space="preserve"> are the unfished biomass of mature female fish and at MSY, respectively. The Fs in this table are not based on instantaneous fishing mortality. Instead, the Fs are indicators of fishing intensity based on SPR and calculated as 1-SPR so that the Fs reflects changes in fishing mortality. SPR is the equilibrium SSB per recruit that would result from the current year’s pattern and intensity of fishing mortality. Current fishing intensity is based on the average fishing intensity during 2012-2014 (F</w:t>
            </w:r>
            <w:r w:rsidRPr="004539D1">
              <w:rPr>
                <w:rFonts w:cstheme="minorHAnsi"/>
                <w:i/>
                <w:lang w:eastAsia="ko-KR" w:bidi="th-TH"/>
              </w:rPr>
              <w:t>2012-2014</w:t>
            </w:r>
            <w:r w:rsidRPr="004539D1">
              <w:rPr>
                <w:rFonts w:cstheme="minorHAnsi"/>
                <w:lang w:eastAsia="ko-KR" w:bidi="th-TH"/>
              </w:rPr>
              <w:t xml:space="preserve">). </w:t>
            </w:r>
          </w:p>
        </w:tc>
      </w:tr>
      <w:tr w:rsidR="0038238E" w:rsidRPr="004539D1" w14:paraId="5E158AC0" w14:textId="77777777" w:rsidTr="00CE2779">
        <w:trPr>
          <w:jc w:val="center"/>
        </w:trPr>
        <w:tc>
          <w:tcPr>
            <w:tcW w:w="2970" w:type="dxa"/>
            <w:tcBorders>
              <w:top w:val="single" w:sz="4" w:space="0" w:color="auto"/>
              <w:bottom w:val="single" w:sz="4" w:space="0" w:color="auto"/>
            </w:tcBorders>
            <w:shd w:val="clear" w:color="auto" w:fill="auto"/>
            <w:vAlign w:val="center"/>
          </w:tcPr>
          <w:p w14:paraId="33178C19" w14:textId="77777777" w:rsidR="0038238E" w:rsidRPr="004539D1" w:rsidRDefault="0038238E" w:rsidP="00CE2779">
            <w:pPr>
              <w:adjustRightInd w:val="0"/>
              <w:snapToGrid w:val="0"/>
              <w:spacing w:after="0" w:line="240" w:lineRule="auto"/>
              <w:ind w:left="257"/>
              <w:rPr>
                <w:rFonts w:cstheme="minorHAnsi"/>
                <w:b/>
                <w:bCs/>
                <w:lang w:eastAsia="ko-KR" w:bidi="th-TH"/>
              </w:rPr>
            </w:pPr>
            <w:r w:rsidRPr="004539D1">
              <w:rPr>
                <w:rFonts w:cstheme="minorHAnsi"/>
                <w:b/>
                <w:bCs/>
                <w:lang w:eastAsia="ko-KR" w:bidi="th-TH"/>
              </w:rPr>
              <w:t>Quantity</w:t>
            </w:r>
          </w:p>
        </w:tc>
        <w:tc>
          <w:tcPr>
            <w:tcW w:w="2160" w:type="dxa"/>
            <w:tcBorders>
              <w:top w:val="single" w:sz="4" w:space="0" w:color="auto"/>
              <w:bottom w:val="single" w:sz="4" w:space="0" w:color="auto"/>
            </w:tcBorders>
            <w:shd w:val="clear" w:color="auto" w:fill="auto"/>
            <w:vAlign w:val="center"/>
          </w:tcPr>
          <w:p w14:paraId="2966766C" w14:textId="77777777" w:rsidR="0038238E" w:rsidRPr="004539D1" w:rsidRDefault="0038238E" w:rsidP="00CE2779">
            <w:pPr>
              <w:adjustRightInd w:val="0"/>
              <w:snapToGrid w:val="0"/>
              <w:spacing w:after="0" w:line="240" w:lineRule="auto"/>
              <w:ind w:left="18"/>
              <w:jc w:val="center"/>
              <w:rPr>
                <w:rFonts w:cstheme="minorHAnsi"/>
                <w:b/>
                <w:bCs/>
                <w:lang w:eastAsia="ko-KR" w:bidi="th-TH"/>
              </w:rPr>
            </w:pPr>
            <w:r w:rsidRPr="004539D1">
              <w:rPr>
                <w:rFonts w:cstheme="minorHAnsi"/>
                <w:b/>
                <w:bCs/>
                <w:lang w:eastAsia="ko-KR" w:bidi="th-TH"/>
              </w:rPr>
              <w:t>Base Case</w:t>
            </w:r>
          </w:p>
        </w:tc>
        <w:tc>
          <w:tcPr>
            <w:tcW w:w="2160" w:type="dxa"/>
            <w:tcBorders>
              <w:top w:val="single" w:sz="4" w:space="0" w:color="auto"/>
              <w:bottom w:val="single" w:sz="4" w:space="0" w:color="auto"/>
            </w:tcBorders>
            <w:shd w:val="clear" w:color="auto" w:fill="auto"/>
            <w:vAlign w:val="center"/>
          </w:tcPr>
          <w:p w14:paraId="5AD9D0D2" w14:textId="77777777" w:rsidR="0038238E" w:rsidRPr="004539D1" w:rsidRDefault="0038238E" w:rsidP="00CE2779">
            <w:pPr>
              <w:adjustRightInd w:val="0"/>
              <w:snapToGrid w:val="0"/>
              <w:spacing w:after="0" w:line="240" w:lineRule="auto"/>
              <w:ind w:left="18"/>
              <w:jc w:val="center"/>
              <w:rPr>
                <w:rFonts w:cstheme="minorHAnsi"/>
                <w:b/>
                <w:bCs/>
                <w:lang w:eastAsia="ko-KR" w:bidi="th-TH"/>
              </w:rPr>
            </w:pPr>
            <w:r w:rsidRPr="004539D1">
              <w:rPr>
                <w:rFonts w:cstheme="minorHAnsi"/>
                <w:b/>
                <w:bCs/>
                <w:lang w:eastAsia="ko-KR" w:bidi="th-TH"/>
              </w:rPr>
              <w:t>M = 0.3 y</w:t>
            </w:r>
            <w:r w:rsidRPr="004539D1">
              <w:rPr>
                <w:rFonts w:cstheme="minorHAnsi"/>
                <w:b/>
                <w:bCs/>
                <w:vertAlign w:val="superscript"/>
                <w:lang w:eastAsia="ko-KR" w:bidi="th-TH"/>
              </w:rPr>
              <w:t>-1</w:t>
            </w:r>
          </w:p>
        </w:tc>
        <w:tc>
          <w:tcPr>
            <w:tcW w:w="2160" w:type="dxa"/>
            <w:tcBorders>
              <w:top w:val="single" w:sz="4" w:space="0" w:color="auto"/>
              <w:bottom w:val="single" w:sz="4" w:space="0" w:color="auto"/>
            </w:tcBorders>
            <w:shd w:val="clear" w:color="auto" w:fill="auto"/>
            <w:vAlign w:val="center"/>
          </w:tcPr>
          <w:p w14:paraId="712CDBFB" w14:textId="77777777" w:rsidR="0038238E" w:rsidRPr="004539D1" w:rsidRDefault="0038238E" w:rsidP="00CE2779">
            <w:pPr>
              <w:adjustRightInd w:val="0"/>
              <w:snapToGrid w:val="0"/>
              <w:spacing w:after="0" w:line="240" w:lineRule="auto"/>
              <w:ind w:left="18"/>
              <w:jc w:val="center"/>
              <w:rPr>
                <w:rFonts w:cstheme="minorHAnsi"/>
                <w:b/>
                <w:bCs/>
                <w:lang w:eastAsia="ko-KR" w:bidi="th-TH"/>
              </w:rPr>
            </w:pPr>
            <w:r w:rsidRPr="004539D1">
              <w:rPr>
                <w:rFonts w:cstheme="minorHAnsi"/>
                <w:b/>
                <w:bCs/>
                <w:lang w:eastAsia="ko-KR" w:bidi="th-TH"/>
              </w:rPr>
              <w:t>Growth</w:t>
            </w:r>
          </w:p>
          <w:p w14:paraId="61002843" w14:textId="77777777" w:rsidR="0038238E" w:rsidRPr="004539D1" w:rsidRDefault="0038238E" w:rsidP="00CE2779">
            <w:pPr>
              <w:adjustRightInd w:val="0"/>
              <w:snapToGrid w:val="0"/>
              <w:spacing w:after="0" w:line="240" w:lineRule="auto"/>
              <w:ind w:left="18"/>
              <w:jc w:val="center"/>
              <w:rPr>
                <w:rFonts w:cstheme="minorHAnsi"/>
                <w:b/>
                <w:bCs/>
                <w:lang w:eastAsia="ko-KR" w:bidi="th-TH"/>
              </w:rPr>
            </w:pPr>
            <w:r w:rsidRPr="004539D1">
              <w:rPr>
                <w:rFonts w:cstheme="minorHAnsi"/>
                <w:b/>
                <w:bCs/>
                <w:lang w:eastAsia="ko-KR" w:bidi="th-TH"/>
              </w:rPr>
              <w:t xml:space="preserve"> CV = 0.06 for </w:t>
            </w:r>
            <w:proofErr w:type="spellStart"/>
            <w:r w:rsidRPr="004539D1">
              <w:rPr>
                <w:rFonts w:cstheme="minorHAnsi"/>
                <w:b/>
                <w:bCs/>
                <w:lang w:eastAsia="ko-KR" w:bidi="th-TH"/>
              </w:rPr>
              <w:t>L</w:t>
            </w:r>
            <w:r w:rsidRPr="004539D1">
              <w:rPr>
                <w:rFonts w:cstheme="minorHAnsi"/>
                <w:b/>
                <w:bCs/>
                <w:vertAlign w:val="subscript"/>
                <w:lang w:eastAsia="ko-KR" w:bidi="th-TH"/>
              </w:rPr>
              <w:t>inf</w:t>
            </w:r>
            <w:proofErr w:type="spellEnd"/>
            <w:r w:rsidRPr="004539D1">
              <w:rPr>
                <w:rFonts w:cstheme="minorHAnsi"/>
                <w:b/>
                <w:bCs/>
                <w:lang w:eastAsia="ko-KR" w:bidi="th-TH"/>
              </w:rPr>
              <w:t xml:space="preserve"> </w:t>
            </w:r>
          </w:p>
        </w:tc>
      </w:tr>
      <w:tr w:rsidR="0038238E" w:rsidRPr="004539D1" w14:paraId="3927EF4F" w14:textId="77777777" w:rsidTr="00CE2779">
        <w:trPr>
          <w:jc w:val="center"/>
        </w:trPr>
        <w:tc>
          <w:tcPr>
            <w:tcW w:w="2970" w:type="dxa"/>
            <w:tcBorders>
              <w:top w:val="single" w:sz="4" w:space="0" w:color="auto"/>
            </w:tcBorders>
            <w:shd w:val="clear" w:color="auto" w:fill="auto"/>
          </w:tcPr>
          <w:p w14:paraId="7B78BD9D"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 xml:space="preserve">MSY (t) </w:t>
            </w:r>
            <w:r w:rsidRPr="004539D1">
              <w:rPr>
                <w:rFonts w:cstheme="minorHAnsi"/>
                <w:vertAlign w:val="superscript"/>
                <w:lang w:eastAsia="ko-KR" w:bidi="th-TH"/>
              </w:rPr>
              <w:t>A</w:t>
            </w:r>
          </w:p>
        </w:tc>
        <w:tc>
          <w:tcPr>
            <w:tcW w:w="2160" w:type="dxa"/>
            <w:tcBorders>
              <w:top w:val="single" w:sz="4" w:space="0" w:color="auto"/>
            </w:tcBorders>
            <w:shd w:val="clear" w:color="auto" w:fill="auto"/>
          </w:tcPr>
          <w:p w14:paraId="620F3661" w14:textId="77777777" w:rsidR="0038238E" w:rsidRPr="004539D1" w:rsidRDefault="0038238E" w:rsidP="00CE2779">
            <w:pPr>
              <w:adjustRightInd w:val="0"/>
              <w:snapToGrid w:val="0"/>
              <w:spacing w:after="0" w:line="240" w:lineRule="auto"/>
              <w:ind w:left="18" w:right="162"/>
              <w:jc w:val="right"/>
              <w:rPr>
                <w:rFonts w:cstheme="minorHAnsi"/>
                <w:lang w:eastAsia="ko-KR" w:bidi="th-TH"/>
              </w:rPr>
            </w:pPr>
            <w:r w:rsidRPr="004539D1">
              <w:rPr>
                <w:rFonts w:cstheme="minorHAnsi"/>
                <w:lang w:eastAsia="ko-KR" w:bidi="th-TH"/>
              </w:rPr>
              <w:t>132,072</w:t>
            </w:r>
          </w:p>
        </w:tc>
        <w:tc>
          <w:tcPr>
            <w:tcW w:w="2160" w:type="dxa"/>
            <w:tcBorders>
              <w:top w:val="single" w:sz="4" w:space="0" w:color="auto"/>
            </w:tcBorders>
            <w:shd w:val="clear" w:color="auto" w:fill="auto"/>
          </w:tcPr>
          <w:p w14:paraId="7CA61B4C"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92,027</w:t>
            </w:r>
          </w:p>
        </w:tc>
        <w:tc>
          <w:tcPr>
            <w:tcW w:w="2160" w:type="dxa"/>
            <w:tcBorders>
              <w:top w:val="single" w:sz="4" w:space="0" w:color="auto"/>
            </w:tcBorders>
            <w:shd w:val="clear" w:color="auto" w:fill="auto"/>
          </w:tcPr>
          <w:p w14:paraId="0B7240AD"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118,836</w:t>
            </w:r>
          </w:p>
        </w:tc>
      </w:tr>
      <w:tr w:rsidR="0038238E" w:rsidRPr="004539D1" w14:paraId="2B51DB36" w14:textId="77777777" w:rsidTr="00CE2779">
        <w:trPr>
          <w:jc w:val="center"/>
        </w:trPr>
        <w:tc>
          <w:tcPr>
            <w:tcW w:w="2970" w:type="dxa"/>
            <w:shd w:val="clear" w:color="auto" w:fill="auto"/>
          </w:tcPr>
          <w:p w14:paraId="4C1487F5"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SSB</w:t>
            </w:r>
            <w:r w:rsidRPr="004539D1">
              <w:rPr>
                <w:rFonts w:cstheme="minorHAnsi"/>
                <w:vertAlign w:val="subscript"/>
                <w:lang w:eastAsia="ko-KR" w:bidi="th-TH"/>
              </w:rPr>
              <w:t>MSY</w:t>
            </w:r>
            <w:r w:rsidRPr="004539D1">
              <w:rPr>
                <w:rFonts w:cstheme="minorHAnsi"/>
                <w:lang w:eastAsia="ko-KR" w:bidi="th-TH"/>
              </w:rPr>
              <w:t xml:space="preserve"> (t)</w:t>
            </w:r>
            <w:r w:rsidRPr="004539D1">
              <w:rPr>
                <w:rFonts w:cstheme="minorHAnsi"/>
                <w:vertAlign w:val="subscript"/>
                <w:lang w:eastAsia="ko-KR" w:bidi="th-TH"/>
              </w:rPr>
              <w:t xml:space="preserve"> </w:t>
            </w:r>
            <w:r w:rsidRPr="004539D1">
              <w:rPr>
                <w:rFonts w:cstheme="minorHAnsi"/>
                <w:vertAlign w:val="superscript"/>
                <w:lang w:eastAsia="ko-KR" w:bidi="th-TH"/>
              </w:rPr>
              <w:t>B</w:t>
            </w:r>
          </w:p>
        </w:tc>
        <w:tc>
          <w:tcPr>
            <w:tcW w:w="2160" w:type="dxa"/>
            <w:shd w:val="clear" w:color="auto" w:fill="auto"/>
          </w:tcPr>
          <w:p w14:paraId="4AB0AF2D" w14:textId="77777777" w:rsidR="0038238E" w:rsidRPr="004539D1" w:rsidRDefault="0038238E" w:rsidP="00CE2779">
            <w:pPr>
              <w:adjustRightInd w:val="0"/>
              <w:snapToGrid w:val="0"/>
              <w:spacing w:after="0" w:line="240" w:lineRule="auto"/>
              <w:ind w:left="18" w:right="162"/>
              <w:jc w:val="right"/>
              <w:rPr>
                <w:rFonts w:cstheme="minorHAnsi"/>
                <w:lang w:eastAsia="ko-KR" w:bidi="th-TH"/>
              </w:rPr>
            </w:pPr>
            <w:r w:rsidRPr="004539D1">
              <w:rPr>
                <w:rFonts w:cstheme="minorHAnsi"/>
                <w:lang w:eastAsia="ko-KR" w:bidi="th-TH"/>
              </w:rPr>
              <w:t>24,770</w:t>
            </w:r>
          </w:p>
        </w:tc>
        <w:tc>
          <w:tcPr>
            <w:tcW w:w="2160" w:type="dxa"/>
            <w:shd w:val="clear" w:color="auto" w:fill="auto"/>
          </w:tcPr>
          <w:p w14:paraId="773D1DC5"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42,098</w:t>
            </w:r>
          </w:p>
        </w:tc>
        <w:tc>
          <w:tcPr>
            <w:tcW w:w="2160" w:type="dxa"/>
            <w:shd w:val="clear" w:color="auto" w:fill="auto"/>
          </w:tcPr>
          <w:p w14:paraId="7EAC1941"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22,351</w:t>
            </w:r>
          </w:p>
        </w:tc>
      </w:tr>
      <w:tr w:rsidR="0038238E" w:rsidRPr="004539D1" w14:paraId="79E68D29" w14:textId="77777777" w:rsidTr="00CE2779">
        <w:trPr>
          <w:jc w:val="center"/>
        </w:trPr>
        <w:tc>
          <w:tcPr>
            <w:tcW w:w="2970" w:type="dxa"/>
            <w:shd w:val="clear" w:color="auto" w:fill="auto"/>
          </w:tcPr>
          <w:p w14:paraId="7E535F2F" w14:textId="77777777" w:rsidR="0038238E" w:rsidRPr="004539D1" w:rsidRDefault="0038238E" w:rsidP="00CE2779">
            <w:pPr>
              <w:adjustRightInd w:val="0"/>
              <w:snapToGrid w:val="0"/>
              <w:spacing w:after="0" w:line="240" w:lineRule="auto"/>
              <w:ind w:left="257"/>
              <w:rPr>
                <w:rFonts w:cstheme="minorHAnsi"/>
                <w:vertAlign w:val="subscript"/>
                <w:lang w:eastAsia="ko-KR" w:bidi="th-TH"/>
              </w:rPr>
            </w:pPr>
            <w:r w:rsidRPr="004539D1">
              <w:rPr>
                <w:rFonts w:cstheme="minorHAnsi"/>
                <w:lang w:eastAsia="ko-KR" w:bidi="th-TH"/>
              </w:rPr>
              <w:t>SSB</w:t>
            </w:r>
            <w:r w:rsidRPr="004539D1">
              <w:rPr>
                <w:rFonts w:cstheme="minorHAnsi"/>
                <w:vertAlign w:val="subscript"/>
                <w:lang w:eastAsia="ko-KR" w:bidi="th-TH"/>
              </w:rPr>
              <w:t>0</w:t>
            </w:r>
            <w:r w:rsidRPr="004539D1">
              <w:rPr>
                <w:rFonts w:cstheme="minorHAnsi"/>
                <w:lang w:eastAsia="ko-KR" w:bidi="th-TH"/>
              </w:rPr>
              <w:t xml:space="preserve"> (t)</w:t>
            </w:r>
            <w:r w:rsidRPr="004539D1">
              <w:rPr>
                <w:rFonts w:cstheme="minorHAnsi"/>
                <w:vertAlign w:val="subscript"/>
                <w:lang w:eastAsia="ko-KR" w:bidi="th-TH"/>
              </w:rPr>
              <w:t xml:space="preserve"> </w:t>
            </w:r>
            <w:r w:rsidRPr="004539D1">
              <w:rPr>
                <w:rFonts w:cstheme="minorHAnsi"/>
                <w:vertAlign w:val="superscript"/>
                <w:lang w:eastAsia="ko-KR" w:bidi="th-TH"/>
              </w:rPr>
              <w:t>B</w:t>
            </w:r>
          </w:p>
        </w:tc>
        <w:tc>
          <w:tcPr>
            <w:tcW w:w="2160" w:type="dxa"/>
            <w:shd w:val="clear" w:color="auto" w:fill="auto"/>
          </w:tcPr>
          <w:p w14:paraId="5F779398" w14:textId="77777777" w:rsidR="0038238E" w:rsidRPr="004539D1" w:rsidRDefault="0038238E" w:rsidP="00CE2779">
            <w:pPr>
              <w:adjustRightInd w:val="0"/>
              <w:snapToGrid w:val="0"/>
              <w:spacing w:after="0" w:line="240" w:lineRule="auto"/>
              <w:ind w:left="18" w:right="162"/>
              <w:jc w:val="right"/>
              <w:rPr>
                <w:rFonts w:cstheme="minorHAnsi"/>
                <w:lang w:eastAsia="ko-KR" w:bidi="th-TH"/>
              </w:rPr>
            </w:pPr>
            <w:r w:rsidRPr="004539D1">
              <w:rPr>
                <w:rFonts w:cstheme="minorHAnsi"/>
                <w:lang w:eastAsia="ko-KR" w:bidi="th-TH"/>
              </w:rPr>
              <w:t>171,869</w:t>
            </w:r>
          </w:p>
        </w:tc>
        <w:tc>
          <w:tcPr>
            <w:tcW w:w="2160" w:type="dxa"/>
            <w:shd w:val="clear" w:color="auto" w:fill="auto"/>
          </w:tcPr>
          <w:p w14:paraId="09662270"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270,879</w:t>
            </w:r>
          </w:p>
        </w:tc>
        <w:tc>
          <w:tcPr>
            <w:tcW w:w="2160" w:type="dxa"/>
            <w:shd w:val="clear" w:color="auto" w:fill="auto"/>
          </w:tcPr>
          <w:p w14:paraId="2E43CB9A"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156,336</w:t>
            </w:r>
          </w:p>
        </w:tc>
      </w:tr>
      <w:tr w:rsidR="0038238E" w:rsidRPr="004539D1" w14:paraId="3FD93C92" w14:textId="77777777" w:rsidTr="00CE2779">
        <w:trPr>
          <w:jc w:val="center"/>
        </w:trPr>
        <w:tc>
          <w:tcPr>
            <w:tcW w:w="2970" w:type="dxa"/>
            <w:shd w:val="clear" w:color="auto" w:fill="auto"/>
          </w:tcPr>
          <w:p w14:paraId="1CC26345"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SSB</w:t>
            </w:r>
            <w:r w:rsidRPr="004539D1">
              <w:rPr>
                <w:rFonts w:cstheme="minorHAnsi"/>
                <w:vertAlign w:val="subscript"/>
                <w:lang w:eastAsia="ko-KR" w:bidi="th-TH"/>
              </w:rPr>
              <w:t>2015</w:t>
            </w:r>
            <w:r w:rsidRPr="004539D1">
              <w:rPr>
                <w:rFonts w:cstheme="minorHAnsi"/>
                <w:lang w:eastAsia="ko-KR" w:bidi="th-TH"/>
              </w:rPr>
              <w:t xml:space="preserve"> (t) </w:t>
            </w:r>
            <w:r w:rsidRPr="004539D1">
              <w:rPr>
                <w:rFonts w:cstheme="minorHAnsi"/>
                <w:vertAlign w:val="superscript"/>
                <w:lang w:eastAsia="ko-KR" w:bidi="th-TH"/>
              </w:rPr>
              <w:t>B</w:t>
            </w:r>
          </w:p>
        </w:tc>
        <w:tc>
          <w:tcPr>
            <w:tcW w:w="2160" w:type="dxa"/>
            <w:shd w:val="clear" w:color="auto" w:fill="auto"/>
          </w:tcPr>
          <w:p w14:paraId="68670DD4" w14:textId="77777777" w:rsidR="0038238E" w:rsidRPr="004539D1" w:rsidRDefault="0038238E" w:rsidP="00CE2779">
            <w:pPr>
              <w:adjustRightInd w:val="0"/>
              <w:snapToGrid w:val="0"/>
              <w:spacing w:after="0" w:line="240" w:lineRule="auto"/>
              <w:ind w:left="18" w:right="162"/>
              <w:jc w:val="right"/>
              <w:rPr>
                <w:rFonts w:cstheme="minorHAnsi"/>
                <w:lang w:eastAsia="ko-KR" w:bidi="th-TH"/>
              </w:rPr>
            </w:pPr>
            <w:r w:rsidRPr="004539D1">
              <w:rPr>
                <w:rFonts w:cstheme="minorHAnsi"/>
                <w:lang w:eastAsia="ko-KR" w:bidi="th-TH"/>
              </w:rPr>
              <w:t>80,618</w:t>
            </w:r>
          </w:p>
        </w:tc>
        <w:tc>
          <w:tcPr>
            <w:tcW w:w="2160" w:type="dxa"/>
            <w:shd w:val="clear" w:color="auto" w:fill="auto"/>
          </w:tcPr>
          <w:p w14:paraId="548A6DF5"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68,169</w:t>
            </w:r>
          </w:p>
        </w:tc>
        <w:tc>
          <w:tcPr>
            <w:tcW w:w="2160" w:type="dxa"/>
            <w:shd w:val="clear" w:color="auto" w:fill="auto"/>
          </w:tcPr>
          <w:p w14:paraId="5DA93814"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63,719</w:t>
            </w:r>
          </w:p>
        </w:tc>
      </w:tr>
      <w:tr w:rsidR="0038238E" w:rsidRPr="004539D1" w14:paraId="79F63BAF" w14:textId="77777777" w:rsidTr="00CE2779">
        <w:trPr>
          <w:jc w:val="center"/>
        </w:trPr>
        <w:tc>
          <w:tcPr>
            <w:tcW w:w="2970" w:type="dxa"/>
            <w:shd w:val="clear" w:color="auto" w:fill="auto"/>
          </w:tcPr>
          <w:p w14:paraId="0BF576B2"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SSB</w:t>
            </w:r>
            <w:r w:rsidRPr="004539D1">
              <w:rPr>
                <w:rFonts w:cstheme="minorHAnsi"/>
                <w:vertAlign w:val="subscript"/>
                <w:lang w:eastAsia="ko-KR" w:bidi="th-TH"/>
              </w:rPr>
              <w:t>2015</w:t>
            </w:r>
            <w:r w:rsidRPr="004539D1">
              <w:rPr>
                <w:rFonts w:cstheme="minorHAnsi"/>
                <w:lang w:eastAsia="ko-KR" w:bidi="th-TH"/>
              </w:rPr>
              <w:t>/20%SSB</w:t>
            </w:r>
            <w:r w:rsidRPr="004539D1">
              <w:rPr>
                <w:rFonts w:cstheme="minorHAnsi"/>
                <w:vertAlign w:val="subscript"/>
                <w:lang w:eastAsia="ko-KR" w:bidi="th-TH"/>
              </w:rPr>
              <w:t xml:space="preserve">current, F=0 </w:t>
            </w:r>
            <w:r w:rsidRPr="004539D1">
              <w:rPr>
                <w:rFonts w:cstheme="minorHAnsi"/>
                <w:vertAlign w:val="superscript"/>
                <w:lang w:eastAsia="ko-KR" w:bidi="th-TH"/>
              </w:rPr>
              <w:t>B</w:t>
            </w:r>
          </w:p>
        </w:tc>
        <w:tc>
          <w:tcPr>
            <w:tcW w:w="2160" w:type="dxa"/>
            <w:shd w:val="clear" w:color="auto" w:fill="auto"/>
          </w:tcPr>
          <w:p w14:paraId="62D75358" w14:textId="77777777" w:rsidR="0038238E" w:rsidRPr="004539D1" w:rsidRDefault="0038238E" w:rsidP="00CE2779">
            <w:pPr>
              <w:adjustRightInd w:val="0"/>
              <w:snapToGrid w:val="0"/>
              <w:spacing w:after="0" w:line="240" w:lineRule="auto"/>
              <w:ind w:left="18" w:right="162"/>
              <w:jc w:val="right"/>
              <w:rPr>
                <w:rFonts w:cstheme="minorHAnsi"/>
                <w:lang w:eastAsia="ko-KR" w:bidi="th-TH"/>
              </w:rPr>
            </w:pPr>
            <w:r w:rsidRPr="004539D1">
              <w:rPr>
                <w:rFonts w:cstheme="minorHAnsi"/>
                <w:lang w:eastAsia="ko-KR" w:bidi="th-TH"/>
              </w:rPr>
              <w:t>2.47</w:t>
            </w:r>
          </w:p>
        </w:tc>
        <w:tc>
          <w:tcPr>
            <w:tcW w:w="2160" w:type="dxa"/>
            <w:shd w:val="clear" w:color="auto" w:fill="auto"/>
          </w:tcPr>
          <w:p w14:paraId="79A53826"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1.31</w:t>
            </w:r>
          </w:p>
        </w:tc>
        <w:tc>
          <w:tcPr>
            <w:tcW w:w="2160" w:type="dxa"/>
            <w:shd w:val="clear" w:color="auto" w:fill="auto"/>
          </w:tcPr>
          <w:p w14:paraId="5267FA32"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2.15</w:t>
            </w:r>
          </w:p>
        </w:tc>
      </w:tr>
      <w:tr w:rsidR="0038238E" w:rsidRPr="004539D1" w14:paraId="0DEC4C26" w14:textId="77777777" w:rsidTr="00CE2779">
        <w:trPr>
          <w:jc w:val="center"/>
        </w:trPr>
        <w:tc>
          <w:tcPr>
            <w:tcW w:w="2970" w:type="dxa"/>
            <w:shd w:val="clear" w:color="auto" w:fill="auto"/>
          </w:tcPr>
          <w:p w14:paraId="765C9B83"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F</w:t>
            </w:r>
            <w:r w:rsidRPr="004539D1">
              <w:rPr>
                <w:rFonts w:cstheme="minorHAnsi"/>
                <w:vertAlign w:val="subscript"/>
                <w:lang w:eastAsia="ko-KR" w:bidi="th-TH"/>
              </w:rPr>
              <w:t>2012-2014</w:t>
            </w:r>
          </w:p>
        </w:tc>
        <w:tc>
          <w:tcPr>
            <w:tcW w:w="2160" w:type="dxa"/>
            <w:shd w:val="clear" w:color="auto" w:fill="auto"/>
          </w:tcPr>
          <w:p w14:paraId="59C6E301" w14:textId="77777777" w:rsidR="0038238E" w:rsidRPr="004539D1" w:rsidRDefault="0038238E" w:rsidP="00CE2779">
            <w:pPr>
              <w:widowControl w:val="0"/>
              <w:adjustRightInd w:val="0"/>
              <w:snapToGrid w:val="0"/>
              <w:spacing w:after="0" w:line="240" w:lineRule="auto"/>
              <w:ind w:left="18" w:right="162"/>
              <w:jc w:val="right"/>
              <w:rPr>
                <w:rFonts w:cstheme="minorHAnsi"/>
                <w:lang w:eastAsia="ko-KR" w:bidi="th-TH"/>
              </w:rPr>
            </w:pPr>
            <w:r w:rsidRPr="004539D1">
              <w:rPr>
                <w:rFonts w:cstheme="minorHAnsi"/>
                <w:lang w:eastAsia="ko-KR" w:bidi="th-TH"/>
              </w:rPr>
              <w:t>0.51</w:t>
            </w:r>
          </w:p>
        </w:tc>
        <w:tc>
          <w:tcPr>
            <w:tcW w:w="2160" w:type="dxa"/>
            <w:shd w:val="clear" w:color="auto" w:fill="auto"/>
          </w:tcPr>
          <w:p w14:paraId="3DFF854A"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0.74</w:t>
            </w:r>
          </w:p>
        </w:tc>
        <w:tc>
          <w:tcPr>
            <w:tcW w:w="2160" w:type="dxa"/>
            <w:shd w:val="clear" w:color="auto" w:fill="auto"/>
          </w:tcPr>
          <w:p w14:paraId="0EA93F41"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0.57</w:t>
            </w:r>
          </w:p>
        </w:tc>
      </w:tr>
      <w:tr w:rsidR="0038238E" w:rsidRPr="004539D1" w14:paraId="5330FE37" w14:textId="77777777" w:rsidTr="00CE2779">
        <w:trPr>
          <w:jc w:val="center"/>
        </w:trPr>
        <w:tc>
          <w:tcPr>
            <w:tcW w:w="2970" w:type="dxa"/>
            <w:shd w:val="clear" w:color="auto" w:fill="auto"/>
          </w:tcPr>
          <w:p w14:paraId="3D3215BD"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F</w:t>
            </w:r>
            <w:r w:rsidRPr="004539D1">
              <w:rPr>
                <w:rFonts w:cstheme="minorHAnsi"/>
                <w:vertAlign w:val="subscript"/>
                <w:lang w:eastAsia="ko-KR" w:bidi="th-TH"/>
              </w:rPr>
              <w:t>2012-2014</w:t>
            </w:r>
            <w:r w:rsidRPr="004539D1">
              <w:rPr>
                <w:rFonts w:cstheme="minorHAnsi"/>
                <w:lang w:eastAsia="ko-KR" w:bidi="th-TH"/>
              </w:rPr>
              <w:t>/F</w:t>
            </w:r>
            <w:r w:rsidRPr="004539D1">
              <w:rPr>
                <w:rFonts w:cstheme="minorHAnsi"/>
                <w:vertAlign w:val="subscript"/>
                <w:lang w:eastAsia="ko-KR" w:bidi="th-TH"/>
              </w:rPr>
              <w:t>MSY</w:t>
            </w:r>
            <w:r w:rsidRPr="004539D1">
              <w:rPr>
                <w:rFonts w:cstheme="minorHAnsi"/>
                <w:lang w:eastAsia="ko-KR" w:bidi="th-TH"/>
              </w:rPr>
              <w:t xml:space="preserve"> </w:t>
            </w:r>
          </w:p>
        </w:tc>
        <w:tc>
          <w:tcPr>
            <w:tcW w:w="2160" w:type="dxa"/>
            <w:shd w:val="clear" w:color="auto" w:fill="auto"/>
          </w:tcPr>
          <w:p w14:paraId="4578B586" w14:textId="77777777" w:rsidR="0038238E" w:rsidRPr="004539D1" w:rsidRDefault="0038238E" w:rsidP="00CE2779">
            <w:pPr>
              <w:widowControl w:val="0"/>
              <w:adjustRightInd w:val="0"/>
              <w:snapToGrid w:val="0"/>
              <w:spacing w:after="0" w:line="240" w:lineRule="auto"/>
              <w:ind w:left="18" w:right="162"/>
              <w:jc w:val="right"/>
              <w:rPr>
                <w:rFonts w:cstheme="minorHAnsi"/>
                <w:kern w:val="2"/>
                <w:lang w:eastAsia="ja-JP" w:bidi="th-TH"/>
              </w:rPr>
            </w:pPr>
            <w:r w:rsidRPr="004539D1">
              <w:rPr>
                <w:rFonts w:cstheme="minorHAnsi"/>
                <w:lang w:eastAsia="ko-KR" w:bidi="th-TH"/>
              </w:rPr>
              <w:t>0.61</w:t>
            </w:r>
          </w:p>
        </w:tc>
        <w:tc>
          <w:tcPr>
            <w:tcW w:w="2160" w:type="dxa"/>
            <w:shd w:val="clear" w:color="auto" w:fill="auto"/>
          </w:tcPr>
          <w:p w14:paraId="42D8A28E"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0.89</w:t>
            </w:r>
          </w:p>
        </w:tc>
        <w:tc>
          <w:tcPr>
            <w:tcW w:w="2160" w:type="dxa"/>
            <w:shd w:val="clear" w:color="auto" w:fill="auto"/>
          </w:tcPr>
          <w:p w14:paraId="0BE1095D"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0.68</w:t>
            </w:r>
          </w:p>
        </w:tc>
      </w:tr>
      <w:tr w:rsidR="0038238E" w:rsidRPr="004539D1" w14:paraId="09C8C29F" w14:textId="77777777" w:rsidTr="00CE2779">
        <w:trPr>
          <w:jc w:val="center"/>
        </w:trPr>
        <w:tc>
          <w:tcPr>
            <w:tcW w:w="2970" w:type="dxa"/>
            <w:shd w:val="clear" w:color="auto" w:fill="auto"/>
          </w:tcPr>
          <w:p w14:paraId="19955E1F"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F</w:t>
            </w:r>
            <w:r w:rsidRPr="004539D1">
              <w:rPr>
                <w:rFonts w:cstheme="minorHAnsi"/>
                <w:vertAlign w:val="subscript"/>
                <w:lang w:eastAsia="ko-KR" w:bidi="th-TH"/>
              </w:rPr>
              <w:t>2012-2014</w:t>
            </w:r>
            <w:r w:rsidRPr="004539D1">
              <w:rPr>
                <w:rFonts w:cstheme="minorHAnsi"/>
                <w:lang w:eastAsia="ko-KR" w:bidi="th-TH"/>
              </w:rPr>
              <w:t>/F</w:t>
            </w:r>
            <w:r w:rsidRPr="004539D1">
              <w:rPr>
                <w:rFonts w:cstheme="minorHAnsi"/>
                <w:vertAlign w:val="subscript"/>
                <w:lang w:eastAsia="ko-KR" w:bidi="th-TH"/>
              </w:rPr>
              <w:t>0.1</w:t>
            </w:r>
          </w:p>
        </w:tc>
        <w:tc>
          <w:tcPr>
            <w:tcW w:w="2160" w:type="dxa"/>
            <w:shd w:val="clear" w:color="auto" w:fill="auto"/>
          </w:tcPr>
          <w:p w14:paraId="12489272" w14:textId="77777777" w:rsidR="0038238E" w:rsidRPr="004539D1" w:rsidRDefault="0038238E" w:rsidP="00CE2779">
            <w:pPr>
              <w:widowControl w:val="0"/>
              <w:adjustRightInd w:val="0"/>
              <w:snapToGrid w:val="0"/>
              <w:spacing w:after="0" w:line="240" w:lineRule="auto"/>
              <w:ind w:left="18" w:right="162"/>
              <w:jc w:val="right"/>
              <w:rPr>
                <w:rFonts w:cstheme="minorHAnsi"/>
                <w:kern w:val="2"/>
                <w:lang w:eastAsia="ja-JP" w:bidi="th-TH"/>
              </w:rPr>
            </w:pPr>
            <w:r w:rsidRPr="004539D1">
              <w:rPr>
                <w:rFonts w:cstheme="minorHAnsi"/>
                <w:lang w:eastAsia="ko-KR" w:bidi="th-TH"/>
              </w:rPr>
              <w:t>0.58</w:t>
            </w:r>
          </w:p>
        </w:tc>
        <w:tc>
          <w:tcPr>
            <w:tcW w:w="2160" w:type="dxa"/>
            <w:shd w:val="clear" w:color="auto" w:fill="auto"/>
          </w:tcPr>
          <w:p w14:paraId="0526E853"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0.90</w:t>
            </w:r>
          </w:p>
        </w:tc>
        <w:tc>
          <w:tcPr>
            <w:tcW w:w="2160" w:type="dxa"/>
            <w:shd w:val="clear" w:color="auto" w:fill="auto"/>
          </w:tcPr>
          <w:p w14:paraId="40AB6183"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0.65</w:t>
            </w:r>
          </w:p>
        </w:tc>
      </w:tr>
      <w:tr w:rsidR="0038238E" w:rsidRPr="004539D1" w14:paraId="00FD7003" w14:textId="77777777" w:rsidTr="00CE2779">
        <w:trPr>
          <w:jc w:val="center"/>
        </w:trPr>
        <w:tc>
          <w:tcPr>
            <w:tcW w:w="2970" w:type="dxa"/>
            <w:shd w:val="clear" w:color="auto" w:fill="auto"/>
          </w:tcPr>
          <w:p w14:paraId="75DF140B"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F</w:t>
            </w:r>
            <w:r w:rsidRPr="004539D1">
              <w:rPr>
                <w:rFonts w:cstheme="minorHAnsi"/>
                <w:vertAlign w:val="subscript"/>
                <w:lang w:eastAsia="ko-KR" w:bidi="th-TH"/>
              </w:rPr>
              <w:t>2012-2014</w:t>
            </w:r>
            <w:r w:rsidRPr="004539D1">
              <w:rPr>
                <w:rFonts w:cstheme="minorHAnsi"/>
                <w:lang w:eastAsia="ko-KR" w:bidi="th-TH"/>
              </w:rPr>
              <w:t>/F</w:t>
            </w:r>
            <w:r w:rsidRPr="004539D1">
              <w:rPr>
                <w:rFonts w:cstheme="minorHAnsi"/>
                <w:vertAlign w:val="subscript"/>
                <w:lang w:eastAsia="ko-KR" w:bidi="th-TH"/>
              </w:rPr>
              <w:t>10%</w:t>
            </w:r>
          </w:p>
        </w:tc>
        <w:tc>
          <w:tcPr>
            <w:tcW w:w="2160" w:type="dxa"/>
            <w:shd w:val="clear" w:color="auto" w:fill="auto"/>
          </w:tcPr>
          <w:p w14:paraId="0A10D260" w14:textId="77777777" w:rsidR="0038238E" w:rsidRPr="004539D1" w:rsidRDefault="0038238E" w:rsidP="00CE2779">
            <w:pPr>
              <w:widowControl w:val="0"/>
              <w:adjustRightInd w:val="0"/>
              <w:snapToGrid w:val="0"/>
              <w:spacing w:after="0" w:line="240" w:lineRule="auto"/>
              <w:ind w:left="18" w:right="162"/>
              <w:jc w:val="right"/>
              <w:rPr>
                <w:rFonts w:cstheme="minorHAnsi"/>
                <w:kern w:val="2"/>
                <w:lang w:eastAsia="ja-JP" w:bidi="th-TH"/>
              </w:rPr>
            </w:pPr>
            <w:r w:rsidRPr="004539D1">
              <w:rPr>
                <w:rFonts w:cstheme="minorHAnsi"/>
                <w:lang w:eastAsia="ko-KR" w:bidi="th-TH"/>
              </w:rPr>
              <w:t>0.56</w:t>
            </w:r>
          </w:p>
        </w:tc>
        <w:tc>
          <w:tcPr>
            <w:tcW w:w="2160" w:type="dxa"/>
            <w:shd w:val="clear" w:color="auto" w:fill="auto"/>
          </w:tcPr>
          <w:p w14:paraId="42636166"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0.81</w:t>
            </w:r>
          </w:p>
        </w:tc>
        <w:tc>
          <w:tcPr>
            <w:tcW w:w="2160" w:type="dxa"/>
            <w:shd w:val="clear" w:color="auto" w:fill="auto"/>
          </w:tcPr>
          <w:p w14:paraId="799C6C8E"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0.63</w:t>
            </w:r>
          </w:p>
        </w:tc>
      </w:tr>
      <w:tr w:rsidR="0038238E" w:rsidRPr="004539D1" w14:paraId="4E89153C" w14:textId="77777777" w:rsidTr="00CE2779">
        <w:trPr>
          <w:jc w:val="center"/>
        </w:trPr>
        <w:tc>
          <w:tcPr>
            <w:tcW w:w="2970" w:type="dxa"/>
            <w:shd w:val="clear" w:color="auto" w:fill="auto"/>
          </w:tcPr>
          <w:p w14:paraId="15BED046"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F</w:t>
            </w:r>
            <w:r w:rsidRPr="004539D1">
              <w:rPr>
                <w:rFonts w:cstheme="minorHAnsi"/>
                <w:vertAlign w:val="subscript"/>
                <w:lang w:eastAsia="ko-KR" w:bidi="th-TH"/>
              </w:rPr>
              <w:t>2012-2014</w:t>
            </w:r>
            <w:r w:rsidRPr="004539D1">
              <w:rPr>
                <w:rFonts w:cstheme="minorHAnsi"/>
                <w:lang w:eastAsia="ko-KR" w:bidi="th-TH"/>
              </w:rPr>
              <w:t>/F</w:t>
            </w:r>
            <w:r w:rsidRPr="004539D1">
              <w:rPr>
                <w:rFonts w:cstheme="minorHAnsi"/>
                <w:vertAlign w:val="subscript"/>
                <w:lang w:eastAsia="ko-KR" w:bidi="th-TH"/>
              </w:rPr>
              <w:t>20%</w:t>
            </w:r>
          </w:p>
        </w:tc>
        <w:tc>
          <w:tcPr>
            <w:tcW w:w="2160" w:type="dxa"/>
            <w:shd w:val="clear" w:color="auto" w:fill="auto"/>
          </w:tcPr>
          <w:p w14:paraId="5448D536" w14:textId="77777777" w:rsidR="0038238E" w:rsidRPr="004539D1" w:rsidRDefault="0038238E" w:rsidP="00CE2779">
            <w:pPr>
              <w:widowControl w:val="0"/>
              <w:adjustRightInd w:val="0"/>
              <w:snapToGrid w:val="0"/>
              <w:spacing w:after="0" w:line="240" w:lineRule="auto"/>
              <w:ind w:left="18" w:right="162"/>
              <w:jc w:val="right"/>
              <w:rPr>
                <w:rFonts w:cstheme="minorHAnsi"/>
                <w:kern w:val="2"/>
                <w:lang w:eastAsia="ja-JP" w:bidi="th-TH"/>
              </w:rPr>
            </w:pPr>
            <w:r w:rsidRPr="004539D1">
              <w:rPr>
                <w:rFonts w:cstheme="minorHAnsi"/>
                <w:lang w:eastAsia="ko-KR" w:bidi="th-TH"/>
              </w:rPr>
              <w:t>0.63</w:t>
            </w:r>
          </w:p>
        </w:tc>
        <w:tc>
          <w:tcPr>
            <w:tcW w:w="2160" w:type="dxa"/>
            <w:shd w:val="clear" w:color="auto" w:fill="auto"/>
          </w:tcPr>
          <w:p w14:paraId="09285E69"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0.91</w:t>
            </w:r>
          </w:p>
        </w:tc>
        <w:tc>
          <w:tcPr>
            <w:tcW w:w="2160" w:type="dxa"/>
            <w:shd w:val="clear" w:color="auto" w:fill="auto"/>
          </w:tcPr>
          <w:p w14:paraId="6CBA9F95"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0.71</w:t>
            </w:r>
          </w:p>
        </w:tc>
      </w:tr>
      <w:tr w:rsidR="0038238E" w:rsidRPr="004539D1" w14:paraId="282D5478" w14:textId="77777777" w:rsidTr="00CE2779">
        <w:trPr>
          <w:jc w:val="center"/>
        </w:trPr>
        <w:tc>
          <w:tcPr>
            <w:tcW w:w="2970" w:type="dxa"/>
            <w:shd w:val="clear" w:color="auto" w:fill="auto"/>
          </w:tcPr>
          <w:p w14:paraId="7C006D3E"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F</w:t>
            </w:r>
            <w:r w:rsidRPr="004539D1">
              <w:rPr>
                <w:rFonts w:cstheme="minorHAnsi"/>
                <w:vertAlign w:val="subscript"/>
                <w:lang w:eastAsia="ko-KR" w:bidi="th-TH"/>
              </w:rPr>
              <w:t>2012-2014</w:t>
            </w:r>
            <w:r w:rsidRPr="004539D1">
              <w:rPr>
                <w:rFonts w:cstheme="minorHAnsi"/>
                <w:lang w:eastAsia="ko-KR" w:bidi="th-TH"/>
              </w:rPr>
              <w:t>/F</w:t>
            </w:r>
            <w:r w:rsidRPr="004539D1">
              <w:rPr>
                <w:rFonts w:cstheme="minorHAnsi"/>
                <w:vertAlign w:val="subscript"/>
                <w:lang w:eastAsia="ko-KR" w:bidi="th-TH"/>
              </w:rPr>
              <w:t>30%</w:t>
            </w:r>
          </w:p>
        </w:tc>
        <w:tc>
          <w:tcPr>
            <w:tcW w:w="2160" w:type="dxa"/>
            <w:shd w:val="clear" w:color="auto" w:fill="auto"/>
          </w:tcPr>
          <w:p w14:paraId="376BEA8C" w14:textId="77777777" w:rsidR="0038238E" w:rsidRPr="004539D1" w:rsidRDefault="0038238E" w:rsidP="00CE2779">
            <w:pPr>
              <w:widowControl w:val="0"/>
              <w:adjustRightInd w:val="0"/>
              <w:snapToGrid w:val="0"/>
              <w:spacing w:after="0" w:line="240" w:lineRule="auto"/>
              <w:ind w:left="18" w:right="162"/>
              <w:jc w:val="right"/>
              <w:rPr>
                <w:rFonts w:cstheme="minorHAnsi"/>
                <w:kern w:val="2"/>
                <w:lang w:eastAsia="ja-JP" w:bidi="th-TH"/>
              </w:rPr>
            </w:pPr>
            <w:r w:rsidRPr="004539D1">
              <w:rPr>
                <w:rFonts w:cstheme="minorHAnsi"/>
                <w:lang w:eastAsia="ko-KR" w:bidi="th-TH"/>
              </w:rPr>
              <w:t>0.72</w:t>
            </w:r>
          </w:p>
        </w:tc>
        <w:tc>
          <w:tcPr>
            <w:tcW w:w="2160" w:type="dxa"/>
            <w:shd w:val="clear" w:color="auto" w:fill="auto"/>
          </w:tcPr>
          <w:p w14:paraId="4211BCA0"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1.04</w:t>
            </w:r>
          </w:p>
        </w:tc>
        <w:tc>
          <w:tcPr>
            <w:tcW w:w="2160" w:type="dxa"/>
            <w:shd w:val="clear" w:color="auto" w:fill="auto"/>
          </w:tcPr>
          <w:p w14:paraId="3D7E0FB4"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0.81</w:t>
            </w:r>
          </w:p>
        </w:tc>
      </w:tr>
      <w:tr w:rsidR="0038238E" w:rsidRPr="004539D1" w14:paraId="301F5FBE" w14:textId="77777777" w:rsidTr="00CE2779">
        <w:trPr>
          <w:jc w:val="center"/>
        </w:trPr>
        <w:tc>
          <w:tcPr>
            <w:tcW w:w="2970" w:type="dxa"/>
            <w:shd w:val="clear" w:color="auto" w:fill="auto"/>
          </w:tcPr>
          <w:p w14:paraId="6E0E3E88"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F</w:t>
            </w:r>
            <w:r w:rsidRPr="004539D1">
              <w:rPr>
                <w:rFonts w:cstheme="minorHAnsi"/>
                <w:vertAlign w:val="subscript"/>
                <w:lang w:eastAsia="ko-KR" w:bidi="th-TH"/>
              </w:rPr>
              <w:t>2012-2014</w:t>
            </w:r>
            <w:r w:rsidRPr="004539D1">
              <w:rPr>
                <w:rFonts w:cstheme="minorHAnsi"/>
                <w:lang w:eastAsia="ko-KR" w:bidi="th-TH"/>
              </w:rPr>
              <w:t>/F</w:t>
            </w:r>
            <w:r w:rsidRPr="004539D1">
              <w:rPr>
                <w:rFonts w:cstheme="minorHAnsi"/>
                <w:vertAlign w:val="subscript"/>
                <w:lang w:eastAsia="ko-KR" w:bidi="th-TH"/>
              </w:rPr>
              <w:t>40%</w:t>
            </w:r>
          </w:p>
        </w:tc>
        <w:tc>
          <w:tcPr>
            <w:tcW w:w="2160" w:type="dxa"/>
            <w:shd w:val="clear" w:color="auto" w:fill="auto"/>
          </w:tcPr>
          <w:p w14:paraId="3381D76D" w14:textId="77777777" w:rsidR="0038238E" w:rsidRPr="004539D1" w:rsidRDefault="0038238E" w:rsidP="00CE2779">
            <w:pPr>
              <w:widowControl w:val="0"/>
              <w:adjustRightInd w:val="0"/>
              <w:snapToGrid w:val="0"/>
              <w:spacing w:after="0" w:line="240" w:lineRule="auto"/>
              <w:ind w:left="18" w:right="162"/>
              <w:jc w:val="right"/>
              <w:rPr>
                <w:rFonts w:cstheme="minorHAnsi"/>
                <w:kern w:val="2"/>
                <w:lang w:eastAsia="ja-JP" w:bidi="th-TH"/>
              </w:rPr>
            </w:pPr>
            <w:r w:rsidRPr="004539D1">
              <w:rPr>
                <w:rFonts w:cstheme="minorHAnsi"/>
                <w:lang w:eastAsia="ko-KR" w:bidi="th-TH"/>
              </w:rPr>
              <w:t>0.85</w:t>
            </w:r>
          </w:p>
        </w:tc>
        <w:tc>
          <w:tcPr>
            <w:tcW w:w="2160" w:type="dxa"/>
            <w:shd w:val="clear" w:color="auto" w:fill="auto"/>
          </w:tcPr>
          <w:p w14:paraId="1732395B"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1.21</w:t>
            </w:r>
          </w:p>
        </w:tc>
        <w:tc>
          <w:tcPr>
            <w:tcW w:w="2160" w:type="dxa"/>
            <w:shd w:val="clear" w:color="auto" w:fill="auto"/>
          </w:tcPr>
          <w:p w14:paraId="7CCF19D8"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0.96</w:t>
            </w:r>
          </w:p>
        </w:tc>
      </w:tr>
      <w:tr w:rsidR="0038238E" w:rsidRPr="004539D1" w14:paraId="1AB68D5E" w14:textId="77777777" w:rsidTr="00CE2779">
        <w:trPr>
          <w:jc w:val="center"/>
        </w:trPr>
        <w:tc>
          <w:tcPr>
            <w:tcW w:w="2970" w:type="dxa"/>
            <w:tcBorders>
              <w:bottom w:val="single" w:sz="4" w:space="0" w:color="auto"/>
            </w:tcBorders>
            <w:shd w:val="clear" w:color="auto" w:fill="auto"/>
          </w:tcPr>
          <w:p w14:paraId="3EA8C1A2" w14:textId="77777777" w:rsidR="0038238E" w:rsidRPr="004539D1" w:rsidRDefault="0038238E" w:rsidP="00CE2779">
            <w:pPr>
              <w:adjustRightInd w:val="0"/>
              <w:snapToGrid w:val="0"/>
              <w:spacing w:after="0" w:line="240" w:lineRule="auto"/>
              <w:ind w:left="257"/>
              <w:rPr>
                <w:rFonts w:cstheme="minorHAnsi"/>
                <w:lang w:eastAsia="ko-KR" w:bidi="th-TH"/>
              </w:rPr>
            </w:pPr>
            <w:r w:rsidRPr="004539D1">
              <w:rPr>
                <w:rFonts w:cstheme="minorHAnsi"/>
                <w:lang w:eastAsia="ko-KR" w:bidi="th-TH"/>
              </w:rPr>
              <w:t>F</w:t>
            </w:r>
            <w:r w:rsidRPr="004539D1">
              <w:rPr>
                <w:rFonts w:cstheme="minorHAnsi"/>
                <w:vertAlign w:val="subscript"/>
                <w:lang w:eastAsia="ko-KR" w:bidi="th-TH"/>
              </w:rPr>
              <w:t>2012-2014</w:t>
            </w:r>
            <w:r w:rsidRPr="004539D1">
              <w:rPr>
                <w:rFonts w:cstheme="minorHAnsi"/>
                <w:lang w:eastAsia="ko-KR" w:bidi="th-TH"/>
              </w:rPr>
              <w:t>/F</w:t>
            </w:r>
            <w:r w:rsidRPr="004539D1">
              <w:rPr>
                <w:rFonts w:cstheme="minorHAnsi"/>
                <w:vertAlign w:val="subscript"/>
                <w:lang w:eastAsia="ko-KR" w:bidi="th-TH"/>
              </w:rPr>
              <w:t>50%</w:t>
            </w:r>
          </w:p>
        </w:tc>
        <w:tc>
          <w:tcPr>
            <w:tcW w:w="2160" w:type="dxa"/>
            <w:tcBorders>
              <w:bottom w:val="single" w:sz="4" w:space="0" w:color="auto"/>
            </w:tcBorders>
            <w:shd w:val="clear" w:color="auto" w:fill="auto"/>
          </w:tcPr>
          <w:p w14:paraId="6B1933DF" w14:textId="77777777" w:rsidR="0038238E" w:rsidRPr="004539D1" w:rsidRDefault="0038238E" w:rsidP="00CE2779">
            <w:pPr>
              <w:widowControl w:val="0"/>
              <w:adjustRightInd w:val="0"/>
              <w:snapToGrid w:val="0"/>
              <w:spacing w:after="0" w:line="240" w:lineRule="auto"/>
              <w:ind w:left="18" w:right="162"/>
              <w:jc w:val="right"/>
              <w:rPr>
                <w:rFonts w:cstheme="minorHAnsi"/>
                <w:kern w:val="2"/>
                <w:lang w:eastAsia="ja-JP" w:bidi="th-TH"/>
              </w:rPr>
            </w:pPr>
            <w:r w:rsidRPr="004539D1">
              <w:rPr>
                <w:rFonts w:cstheme="minorHAnsi"/>
                <w:lang w:eastAsia="ko-KR" w:bidi="th-TH"/>
              </w:rPr>
              <w:t>1.01</w:t>
            </w:r>
          </w:p>
        </w:tc>
        <w:tc>
          <w:tcPr>
            <w:tcW w:w="2160" w:type="dxa"/>
            <w:tcBorders>
              <w:bottom w:val="single" w:sz="4" w:space="0" w:color="auto"/>
            </w:tcBorders>
            <w:shd w:val="clear" w:color="auto" w:fill="auto"/>
          </w:tcPr>
          <w:p w14:paraId="40E7F1EA" w14:textId="77777777" w:rsidR="0038238E" w:rsidRPr="004539D1" w:rsidRDefault="0038238E" w:rsidP="00CE2779">
            <w:pPr>
              <w:adjustRightInd w:val="0"/>
              <w:snapToGrid w:val="0"/>
              <w:spacing w:after="0" w:line="240" w:lineRule="auto"/>
              <w:ind w:left="18" w:right="306"/>
              <w:jc w:val="right"/>
              <w:rPr>
                <w:rFonts w:cstheme="minorHAnsi"/>
                <w:lang w:eastAsia="ko-KR" w:bidi="th-TH"/>
              </w:rPr>
            </w:pPr>
            <w:r w:rsidRPr="004539D1">
              <w:rPr>
                <w:rFonts w:cstheme="minorHAnsi"/>
                <w:lang w:eastAsia="ko-KR" w:bidi="th-TH"/>
              </w:rPr>
              <w:t>1.47</w:t>
            </w:r>
          </w:p>
        </w:tc>
        <w:tc>
          <w:tcPr>
            <w:tcW w:w="2160" w:type="dxa"/>
            <w:tcBorders>
              <w:bottom w:val="single" w:sz="4" w:space="0" w:color="auto"/>
            </w:tcBorders>
            <w:shd w:val="clear" w:color="auto" w:fill="auto"/>
          </w:tcPr>
          <w:p w14:paraId="1D387A3F" w14:textId="77777777" w:rsidR="0038238E" w:rsidRPr="004539D1" w:rsidRDefault="0038238E" w:rsidP="00CE2779">
            <w:pPr>
              <w:adjustRightInd w:val="0"/>
              <w:snapToGrid w:val="0"/>
              <w:spacing w:after="0" w:line="240" w:lineRule="auto"/>
              <w:ind w:left="18" w:right="214"/>
              <w:jc w:val="right"/>
              <w:rPr>
                <w:rFonts w:cstheme="minorHAnsi"/>
                <w:lang w:eastAsia="ko-KR" w:bidi="th-TH"/>
              </w:rPr>
            </w:pPr>
            <w:r w:rsidRPr="004539D1">
              <w:rPr>
                <w:rFonts w:cstheme="minorHAnsi"/>
                <w:lang w:eastAsia="ko-KR" w:bidi="th-TH"/>
              </w:rPr>
              <w:t>1.16</w:t>
            </w:r>
          </w:p>
        </w:tc>
      </w:tr>
      <w:tr w:rsidR="0038238E" w:rsidRPr="004539D1" w14:paraId="476161AA" w14:textId="77777777" w:rsidTr="00CE2779">
        <w:trPr>
          <w:jc w:val="center"/>
        </w:trPr>
        <w:tc>
          <w:tcPr>
            <w:tcW w:w="9450" w:type="dxa"/>
            <w:gridSpan w:val="4"/>
            <w:tcBorders>
              <w:top w:val="single" w:sz="4" w:space="0" w:color="auto"/>
              <w:bottom w:val="single" w:sz="4" w:space="0" w:color="auto"/>
            </w:tcBorders>
            <w:shd w:val="clear" w:color="auto" w:fill="auto"/>
          </w:tcPr>
          <w:p w14:paraId="685A17C0" w14:textId="77777777" w:rsidR="0038238E" w:rsidRPr="004539D1" w:rsidRDefault="0038238E" w:rsidP="00CE2779">
            <w:pPr>
              <w:adjustRightInd w:val="0"/>
              <w:snapToGrid w:val="0"/>
              <w:spacing w:after="0" w:line="240" w:lineRule="auto"/>
              <w:ind w:left="18"/>
              <w:rPr>
                <w:rFonts w:cstheme="minorHAnsi"/>
                <w:lang w:eastAsia="ko-KR" w:bidi="th-TH"/>
              </w:rPr>
            </w:pPr>
            <w:r w:rsidRPr="004539D1">
              <w:rPr>
                <w:rFonts w:cstheme="minorHAnsi"/>
                <w:lang w:eastAsia="ko-KR" w:bidi="th-TH"/>
              </w:rPr>
              <w:t xml:space="preserve">A – MSY includes male and female juvenile and adult fish </w:t>
            </w:r>
          </w:p>
          <w:p w14:paraId="634E2153" w14:textId="77777777" w:rsidR="0038238E" w:rsidRPr="004539D1" w:rsidRDefault="0038238E" w:rsidP="00CE2779">
            <w:pPr>
              <w:adjustRightInd w:val="0"/>
              <w:snapToGrid w:val="0"/>
              <w:spacing w:after="0" w:line="240" w:lineRule="auto"/>
              <w:ind w:left="18"/>
              <w:rPr>
                <w:rFonts w:cstheme="minorHAnsi"/>
                <w:lang w:eastAsia="ko-KR" w:bidi="th-TH"/>
              </w:rPr>
            </w:pPr>
            <w:r w:rsidRPr="004539D1">
              <w:rPr>
                <w:rFonts w:cstheme="minorHAnsi"/>
                <w:lang w:eastAsia="ko-KR" w:bidi="th-TH"/>
              </w:rPr>
              <w:t>B – Spawning stock biomass (SSB) in this assessment refers to mature female biomass only.</w:t>
            </w:r>
          </w:p>
        </w:tc>
      </w:tr>
    </w:tbl>
    <w:p w14:paraId="7DECA1E7" w14:textId="77777777" w:rsidR="0038238E" w:rsidRPr="004539D1" w:rsidRDefault="0038238E" w:rsidP="00CE2779">
      <w:pPr>
        <w:widowControl w:val="0"/>
        <w:autoSpaceDE w:val="0"/>
        <w:autoSpaceDN w:val="0"/>
        <w:adjustRightInd w:val="0"/>
        <w:snapToGrid w:val="0"/>
        <w:spacing w:after="0" w:line="240" w:lineRule="auto"/>
        <w:rPr>
          <w:rFonts w:eastAsia="Malgun Gothic" w:cstheme="minorHAnsi"/>
          <w:lang w:eastAsia="ko-KR"/>
        </w:rPr>
      </w:pPr>
    </w:p>
    <w:p w14:paraId="491DDE8B" w14:textId="77777777" w:rsidR="00E303D7" w:rsidRPr="004539D1" w:rsidRDefault="00E303D7" w:rsidP="00CE2779">
      <w:pPr>
        <w:adjustRightInd w:val="0"/>
        <w:snapToGrid w:val="0"/>
        <w:spacing w:after="0" w:line="240" w:lineRule="auto"/>
        <w:rPr>
          <w:rFonts w:cstheme="minorHAnsi"/>
        </w:rPr>
      </w:pPr>
    </w:p>
    <w:p w14:paraId="7A0C1160" w14:textId="19EF638C" w:rsidR="0038238E" w:rsidRPr="004539D1" w:rsidRDefault="0038238E" w:rsidP="00CE2779">
      <w:pPr>
        <w:adjustRightInd w:val="0"/>
        <w:snapToGrid w:val="0"/>
        <w:spacing w:after="0" w:line="240" w:lineRule="auto"/>
        <w:rPr>
          <w:rFonts w:cstheme="minorHAnsi"/>
        </w:rPr>
      </w:pPr>
      <w:r w:rsidRPr="004539D1">
        <w:rPr>
          <w:rFonts w:cstheme="minorHAnsi"/>
        </w:rPr>
        <w:br w:type="pag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7"/>
        <w:gridCol w:w="4563"/>
      </w:tblGrid>
      <w:tr w:rsidR="00CE2779" w:rsidRPr="004539D1" w14:paraId="227A9C74" w14:textId="77777777" w:rsidTr="004D0AED">
        <w:tc>
          <w:tcPr>
            <w:tcW w:w="2490" w:type="pct"/>
            <w:tcBorders>
              <w:top w:val="nil"/>
              <w:left w:val="nil"/>
              <w:bottom w:val="nil"/>
              <w:right w:val="nil"/>
            </w:tcBorders>
            <w:shd w:val="clear" w:color="auto" w:fill="auto"/>
          </w:tcPr>
          <w:p w14:paraId="3EF0D6F1" w14:textId="596A03E8" w:rsidR="00CE2779" w:rsidRPr="004539D1" w:rsidRDefault="00CE2779" w:rsidP="004D0AED">
            <w:pPr>
              <w:pStyle w:val="ListParagraph"/>
              <w:adjustRightInd w:val="0"/>
              <w:snapToGrid w:val="0"/>
              <w:ind w:left="0" w:right="-431" w:hanging="13"/>
              <w:contextualSpacing w:val="0"/>
              <w:jc w:val="center"/>
              <w:rPr>
                <w:rFonts w:asciiTheme="minorHAnsi" w:eastAsia="Batang" w:hAnsiTheme="minorHAnsi" w:cstheme="minorHAnsi"/>
                <w:b/>
                <w:bCs/>
                <w:lang w:eastAsia="ko-KR" w:bidi="th-TH"/>
              </w:rPr>
            </w:pPr>
            <w:r w:rsidRPr="004539D1">
              <w:rPr>
                <w:rFonts w:asciiTheme="minorHAnsi" w:eastAsia="Batang" w:hAnsiTheme="minorHAnsi" w:cstheme="minorHAnsi"/>
                <w:b/>
                <w:bCs/>
                <w:lang w:eastAsia="ko-KR" w:bidi="th-TH"/>
              </w:rPr>
              <w:t>A</w:t>
            </w:r>
          </w:p>
        </w:tc>
        <w:tc>
          <w:tcPr>
            <w:tcW w:w="2510" w:type="pct"/>
            <w:tcBorders>
              <w:top w:val="nil"/>
              <w:left w:val="nil"/>
              <w:bottom w:val="nil"/>
              <w:right w:val="nil"/>
            </w:tcBorders>
            <w:shd w:val="clear" w:color="auto" w:fill="auto"/>
          </w:tcPr>
          <w:p w14:paraId="3872AD99" w14:textId="2CE7F40B" w:rsidR="00CE2779" w:rsidRPr="004539D1" w:rsidRDefault="00CE2779" w:rsidP="00CE2779">
            <w:pPr>
              <w:pStyle w:val="ListParagraph"/>
              <w:adjustRightInd w:val="0"/>
              <w:snapToGrid w:val="0"/>
              <w:ind w:left="-68"/>
              <w:contextualSpacing w:val="0"/>
              <w:jc w:val="center"/>
              <w:rPr>
                <w:rFonts w:asciiTheme="minorHAnsi" w:eastAsia="Batang" w:hAnsiTheme="minorHAnsi" w:cstheme="minorHAnsi"/>
                <w:lang w:eastAsia="ko-KR" w:bidi="th-TH"/>
              </w:rPr>
            </w:pPr>
            <w:r w:rsidRPr="004539D1">
              <w:rPr>
                <w:rFonts w:asciiTheme="minorHAnsi" w:eastAsia="Batang" w:hAnsiTheme="minorHAnsi" w:cstheme="minorHAnsi"/>
                <w:lang w:eastAsia="ko-KR" w:bidi="th-TH"/>
              </w:rPr>
              <w:t>B</w:t>
            </w:r>
          </w:p>
        </w:tc>
      </w:tr>
      <w:tr w:rsidR="0038238E" w:rsidRPr="004539D1" w14:paraId="3DAF8A9C" w14:textId="77777777" w:rsidTr="004D0AED">
        <w:tc>
          <w:tcPr>
            <w:tcW w:w="2490" w:type="pct"/>
            <w:tcBorders>
              <w:top w:val="nil"/>
              <w:left w:val="nil"/>
              <w:bottom w:val="nil"/>
              <w:right w:val="nil"/>
            </w:tcBorders>
            <w:shd w:val="clear" w:color="auto" w:fill="auto"/>
            <w:vAlign w:val="center"/>
          </w:tcPr>
          <w:p w14:paraId="3C0396D2" w14:textId="5E3DD2C1" w:rsidR="0038238E" w:rsidRPr="004539D1" w:rsidRDefault="004D0AED" w:rsidP="004D0AED">
            <w:pPr>
              <w:pStyle w:val="ListParagraph"/>
              <w:adjustRightInd w:val="0"/>
              <w:snapToGrid w:val="0"/>
              <w:ind w:left="0" w:right="-431" w:hanging="13"/>
              <w:contextualSpacing w:val="0"/>
              <w:jc w:val="left"/>
              <w:rPr>
                <w:rFonts w:asciiTheme="minorHAnsi" w:eastAsia="Batang" w:hAnsiTheme="minorHAnsi" w:cstheme="minorHAnsi"/>
                <w:bCs/>
                <w:lang w:eastAsia="ko-KR" w:bidi="th-TH"/>
              </w:rPr>
            </w:pPr>
            <w:r w:rsidRPr="004539D1">
              <w:rPr>
                <w:rFonts w:asciiTheme="minorHAnsi" w:hAnsiTheme="minorHAnsi" w:cstheme="minorHAnsi"/>
              </w:rPr>
              <w:object w:dxaOrig="4635" w:dyaOrig="4155" w14:anchorId="5324CD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8pt;height:204pt" o:ole="">
                  <v:imagedata r:id="rId24" o:title=""/>
                </v:shape>
                <o:OLEObject Type="Embed" ProgID="PBrush" ShapeID="_x0000_i1025" DrawAspect="Content" ObjectID="_1770706635" r:id="rId25"/>
              </w:object>
            </w:r>
          </w:p>
        </w:tc>
        <w:tc>
          <w:tcPr>
            <w:tcW w:w="2510" w:type="pct"/>
            <w:tcBorders>
              <w:top w:val="nil"/>
              <w:left w:val="nil"/>
              <w:bottom w:val="nil"/>
              <w:right w:val="nil"/>
            </w:tcBorders>
            <w:shd w:val="clear" w:color="auto" w:fill="auto"/>
            <w:vAlign w:val="center"/>
          </w:tcPr>
          <w:p w14:paraId="70BDD55F" w14:textId="40FF2848" w:rsidR="0038238E" w:rsidRPr="004539D1" w:rsidRDefault="004D0AED" w:rsidP="004D0AED">
            <w:pPr>
              <w:pStyle w:val="ListParagraph"/>
              <w:adjustRightInd w:val="0"/>
              <w:snapToGrid w:val="0"/>
              <w:ind w:left="-68"/>
              <w:contextualSpacing w:val="0"/>
              <w:jc w:val="right"/>
              <w:rPr>
                <w:rFonts w:asciiTheme="minorHAnsi" w:eastAsia="Batang" w:hAnsiTheme="minorHAnsi" w:cstheme="minorHAnsi"/>
                <w:lang w:eastAsia="ko-KR" w:bidi="th-TH"/>
              </w:rPr>
            </w:pPr>
            <w:r w:rsidRPr="004539D1">
              <w:rPr>
                <w:rFonts w:asciiTheme="minorHAnsi" w:hAnsiTheme="minorHAnsi" w:cstheme="minorHAnsi"/>
              </w:rPr>
              <w:object w:dxaOrig="4695" w:dyaOrig="4275" w14:anchorId="6F844FFE">
                <v:shape id="_x0000_i1026" type="#_x0000_t75" style="width:220.8pt;height:202.2pt" o:ole="">
                  <v:imagedata r:id="rId26" o:title=""/>
                </v:shape>
                <o:OLEObject Type="Embed" ProgID="PBrush" ShapeID="_x0000_i1026" DrawAspect="Content" ObjectID="_1770706636" r:id="rId27"/>
              </w:object>
            </w:r>
          </w:p>
        </w:tc>
      </w:tr>
      <w:tr w:rsidR="0038238E" w:rsidRPr="004539D1" w14:paraId="528D0270" w14:textId="77777777" w:rsidTr="004D0AED">
        <w:tc>
          <w:tcPr>
            <w:tcW w:w="5000" w:type="pct"/>
            <w:gridSpan w:val="2"/>
            <w:tcBorders>
              <w:top w:val="nil"/>
              <w:left w:val="nil"/>
              <w:bottom w:val="nil"/>
              <w:right w:val="nil"/>
            </w:tcBorders>
            <w:shd w:val="clear" w:color="auto" w:fill="auto"/>
          </w:tcPr>
          <w:p w14:paraId="12654822" w14:textId="04026198" w:rsidR="0038238E" w:rsidRPr="004539D1" w:rsidRDefault="0038238E" w:rsidP="004D0AED">
            <w:pPr>
              <w:adjustRightInd w:val="0"/>
              <w:snapToGrid w:val="0"/>
              <w:spacing w:after="0" w:line="240" w:lineRule="auto"/>
              <w:ind w:right="-431" w:hanging="13"/>
              <w:jc w:val="both"/>
              <w:rPr>
                <w:rFonts w:cstheme="minorHAnsi"/>
                <w:bCs/>
                <w:lang w:eastAsia="ko-KR" w:bidi="th-TH"/>
              </w:rPr>
            </w:pPr>
            <w:bookmarkStart w:id="10" w:name="_Hlk491599786"/>
            <w:r w:rsidRPr="004539D1">
              <w:rPr>
                <w:rFonts w:cstheme="minorHAnsi"/>
                <w:b/>
                <w:bCs/>
                <w:lang w:eastAsia="ko-KR" w:bidi="th-TH"/>
              </w:rPr>
              <w:t xml:space="preserve">Figure NPALB-1. </w:t>
            </w:r>
            <w:r w:rsidRPr="004539D1">
              <w:rPr>
                <w:rFonts w:cstheme="minorHAnsi"/>
                <w:bCs/>
                <w:lang w:eastAsia="ko-KR" w:bidi="th-TH"/>
              </w:rPr>
              <w:t xml:space="preserve">(A) </w:t>
            </w:r>
            <w:r w:rsidRPr="004539D1">
              <w:rPr>
                <w:rFonts w:cstheme="minorHAnsi"/>
                <w:lang w:eastAsia="ko-KR" w:bidi="th-TH"/>
              </w:rPr>
              <w:t xml:space="preserve">Kobe plot showing the status of the north Pacific albacore </w:t>
            </w:r>
            <w:r w:rsidRPr="004539D1">
              <w:rPr>
                <w:rFonts w:cstheme="minorHAnsi"/>
                <w:bCs/>
                <w:lang w:eastAsia="ko-KR" w:bidi="th-TH"/>
              </w:rPr>
              <w:t>(</w:t>
            </w:r>
            <w:r w:rsidRPr="004539D1">
              <w:rPr>
                <w:rFonts w:cstheme="minorHAnsi"/>
                <w:bCs/>
                <w:i/>
                <w:lang w:eastAsia="ko-KR" w:bidi="th-TH"/>
              </w:rPr>
              <w:t>Thunnus alalunga</w:t>
            </w:r>
            <w:r w:rsidRPr="004539D1">
              <w:rPr>
                <w:rFonts w:cstheme="minorHAnsi"/>
                <w:bCs/>
                <w:lang w:eastAsia="ko-KR" w:bidi="th-TH"/>
              </w:rPr>
              <w:t xml:space="preserve">) </w:t>
            </w:r>
            <w:r w:rsidRPr="004539D1">
              <w:rPr>
                <w:rFonts w:cstheme="minorHAnsi"/>
                <w:lang w:eastAsia="ko-KR" w:bidi="th-TH"/>
              </w:rPr>
              <w:t>stock relative to the 20%SSB</w:t>
            </w:r>
            <w:r w:rsidRPr="004539D1">
              <w:rPr>
                <w:rFonts w:cstheme="minorHAnsi"/>
                <w:i/>
                <w:lang w:eastAsia="ko-KR" w:bidi="th-TH"/>
              </w:rPr>
              <w:t>current</w:t>
            </w:r>
            <w:r w:rsidRPr="004539D1">
              <w:rPr>
                <w:rFonts w:cstheme="minorHAnsi"/>
                <w:vertAlign w:val="subscript"/>
                <w:lang w:eastAsia="ko-KR" w:bidi="th-TH"/>
              </w:rPr>
              <w:t>, F=0</w:t>
            </w:r>
            <w:r w:rsidRPr="004539D1">
              <w:rPr>
                <w:rFonts w:cstheme="minorHAnsi"/>
                <w:lang w:eastAsia="ko-KR" w:bidi="th-TH"/>
              </w:rPr>
              <w:t xml:space="preserve"> biomass-based limit reference point, and equivalent fishing intensity (F</w:t>
            </w:r>
            <w:r w:rsidRPr="004539D1">
              <w:rPr>
                <w:rFonts w:cstheme="minorHAnsi"/>
                <w:i/>
                <w:lang w:eastAsia="ko-KR" w:bidi="th-TH"/>
              </w:rPr>
              <w:t>20%</w:t>
            </w:r>
            <w:r w:rsidRPr="004539D1">
              <w:rPr>
                <w:rFonts w:cstheme="minorHAnsi"/>
                <w:lang w:eastAsia="ko-KR" w:bidi="th-TH"/>
              </w:rPr>
              <w:t>; calculated as 1-SPR</w:t>
            </w:r>
            <w:r w:rsidRPr="004539D1">
              <w:rPr>
                <w:rFonts w:cstheme="minorHAnsi"/>
                <w:i/>
                <w:lang w:eastAsia="ko-KR" w:bidi="th-TH"/>
              </w:rPr>
              <w:t>20%</w:t>
            </w:r>
            <w:r w:rsidRPr="004539D1">
              <w:rPr>
                <w:rFonts w:cstheme="minorHAnsi"/>
                <w:lang w:eastAsia="ko-KR" w:bidi="th-TH"/>
              </w:rPr>
              <w:t xml:space="preserve">) over the base case modelling period (1993-2015). </w:t>
            </w:r>
            <w:bookmarkEnd w:id="10"/>
            <w:r w:rsidRPr="004539D1">
              <w:rPr>
                <w:rFonts w:cstheme="minorHAnsi"/>
                <w:lang w:eastAsia="ko-KR" w:bidi="th-TH"/>
              </w:rPr>
              <w:t xml:space="preserve">Blue triangle indicates the start year (1993) and black circle with 95% confidence intervals indicates the terminal year (2015). </w:t>
            </w:r>
            <w:bookmarkStart w:id="11" w:name="_Hlk491599803"/>
            <w:r w:rsidRPr="004539D1">
              <w:rPr>
                <w:rFonts w:cstheme="minorHAnsi"/>
                <w:lang w:eastAsia="ko-KR" w:bidi="th-TH"/>
              </w:rPr>
              <w:t>(B) Kobe plot showing stock status and 95% confidence intervals in the terminal year (2015) of the base case model (black; closed circle) and important sensitivity runs with M = 0.3 y</w:t>
            </w:r>
            <w:r w:rsidRPr="004539D1">
              <w:rPr>
                <w:rFonts w:cstheme="minorHAnsi"/>
                <w:vertAlign w:val="superscript"/>
                <w:lang w:eastAsia="ko-KR" w:bidi="th-TH"/>
              </w:rPr>
              <w:t>-1</w:t>
            </w:r>
            <w:r w:rsidRPr="004539D1">
              <w:rPr>
                <w:rFonts w:cstheme="minorHAnsi"/>
                <w:lang w:eastAsia="ko-KR" w:bidi="th-TH"/>
              </w:rPr>
              <w:t xml:space="preserve"> for both sexes (blue; open square), and CV = 0.06 for L</w:t>
            </w:r>
            <w:r w:rsidRPr="004539D1">
              <w:rPr>
                <w:rFonts w:cstheme="minorHAnsi"/>
                <w:i/>
                <w:lang w:eastAsia="ko-KR" w:bidi="th-TH"/>
              </w:rPr>
              <w:t>inf</w:t>
            </w:r>
            <w:r w:rsidRPr="004539D1">
              <w:rPr>
                <w:rFonts w:cstheme="minorHAnsi"/>
                <w:lang w:eastAsia="ko-KR" w:bidi="th-TH"/>
              </w:rPr>
              <w:t xml:space="preserve"> in the growth model (white; open triangle). </w:t>
            </w:r>
            <w:bookmarkEnd w:id="11"/>
            <w:r w:rsidRPr="004539D1">
              <w:rPr>
                <w:rFonts w:cstheme="minorHAnsi"/>
                <w:lang w:eastAsia="ko-KR" w:bidi="th-TH"/>
              </w:rPr>
              <w:t>Fs in this figure are not based on instantaneous fishing mortality. Instead, the Fs are indicators of fishing intensity based on SPR and calculated as 1-SPR so that the Fs reflects changes in fishing mortality. SPR is the equilibrium SSB per recruit that would result from the current year’s pattern and intensity of fishing mortality.</w:t>
            </w:r>
          </w:p>
        </w:tc>
      </w:tr>
    </w:tbl>
    <w:p w14:paraId="06A36479" w14:textId="77777777" w:rsidR="0038238E" w:rsidRPr="004539D1" w:rsidRDefault="0038238E" w:rsidP="00CE2779">
      <w:pPr>
        <w:adjustRightInd w:val="0"/>
        <w:snapToGrid w:val="0"/>
        <w:spacing w:after="0" w:line="240" w:lineRule="auto"/>
        <w:rPr>
          <w:rFonts w:cstheme="minorHAnsi"/>
        </w:rPr>
      </w:pPr>
    </w:p>
    <w:p w14:paraId="3CEB2EE3" w14:textId="77777777" w:rsidR="004D0AED" w:rsidRPr="004539D1" w:rsidRDefault="004D0AED">
      <w:pPr>
        <w:rPr>
          <w:rFonts w:eastAsia="MS Mincho" w:cstheme="minorHAnsi"/>
          <w:color w:val="2F5496" w:themeColor="accent1" w:themeShade="BF"/>
          <w:sz w:val="32"/>
          <w:szCs w:val="32"/>
          <w:lang w:val="en-NZ" w:eastAsia="en-NZ"/>
        </w:rPr>
      </w:pPr>
      <w:bookmarkStart w:id="12" w:name="_Toc495323856"/>
      <w:r w:rsidRPr="004539D1">
        <w:rPr>
          <w:rFonts w:eastAsia="MS Mincho" w:cstheme="minorHAnsi"/>
          <w:lang w:val="en-NZ" w:eastAsia="en-NZ"/>
        </w:rPr>
        <w:br w:type="page"/>
      </w:r>
    </w:p>
    <w:p w14:paraId="45522B02" w14:textId="70AE0AC7" w:rsidR="00E46C3A" w:rsidRPr="004539D1" w:rsidRDefault="00E46C3A" w:rsidP="00CE2779">
      <w:pPr>
        <w:pStyle w:val="Heading1"/>
        <w:adjustRightInd w:val="0"/>
        <w:snapToGrid w:val="0"/>
        <w:spacing w:before="0" w:line="240" w:lineRule="auto"/>
        <w:rPr>
          <w:rFonts w:asciiTheme="minorHAnsi" w:eastAsia="MS Mincho" w:hAnsiTheme="minorHAnsi" w:cstheme="minorHAnsi"/>
          <w:b/>
          <w:bCs/>
          <w:caps/>
          <w:sz w:val="28"/>
          <w:szCs w:val="28"/>
          <w:lang w:val="en-NZ" w:eastAsia="en-NZ"/>
        </w:rPr>
      </w:pPr>
      <w:bookmarkStart w:id="13" w:name="_Toc159854732"/>
      <w:r w:rsidRPr="004539D1">
        <w:rPr>
          <w:rFonts w:asciiTheme="minorHAnsi" w:eastAsia="MS Mincho" w:hAnsiTheme="minorHAnsi" w:cstheme="minorHAnsi"/>
          <w:b/>
          <w:bCs/>
          <w:caps/>
          <w:sz w:val="28"/>
          <w:szCs w:val="28"/>
          <w:lang w:val="en-NZ" w:eastAsia="en-NZ"/>
        </w:rPr>
        <w:t>References</w:t>
      </w:r>
      <w:bookmarkEnd w:id="12"/>
      <w:bookmarkEnd w:id="13"/>
    </w:p>
    <w:p w14:paraId="7C48B647" w14:textId="77777777" w:rsidR="00E46C3A" w:rsidRPr="004539D1" w:rsidRDefault="00E46C3A" w:rsidP="00CE2779">
      <w:pPr>
        <w:adjustRightInd w:val="0"/>
        <w:snapToGrid w:val="0"/>
        <w:spacing w:after="0" w:line="240" w:lineRule="auto"/>
        <w:rPr>
          <w:rFonts w:cstheme="minorHAnsi"/>
        </w:rPr>
      </w:pPr>
    </w:p>
    <w:p w14:paraId="74D0C76A" w14:textId="0E4E6F93" w:rsidR="007409C2" w:rsidRPr="004539D1" w:rsidRDefault="007409C2" w:rsidP="00CE2779">
      <w:pPr>
        <w:adjustRightInd w:val="0"/>
        <w:snapToGrid w:val="0"/>
        <w:spacing w:after="0" w:line="240" w:lineRule="auto"/>
        <w:rPr>
          <w:rFonts w:cstheme="minorHAnsi"/>
        </w:rPr>
      </w:pPr>
      <w:r w:rsidRPr="004539D1">
        <w:rPr>
          <w:rFonts w:cstheme="minorHAnsi"/>
          <w:color w:val="666666"/>
        </w:rPr>
        <w:t xml:space="preserve">SC16-SA-WP-05 </w:t>
      </w:r>
      <w:r w:rsidRPr="004539D1">
        <w:rPr>
          <w:rFonts w:cstheme="minorHAnsi"/>
          <w:shd w:val="clear" w:color="auto" w:fill="FFFFFF"/>
        </w:rPr>
        <w:t>Stock Assessment of Albacore Tuna in the North Pacific Ocean in 2020</w:t>
      </w:r>
      <w:r w:rsidRPr="004539D1">
        <w:rPr>
          <w:rFonts w:cstheme="minorHAnsi"/>
        </w:rPr>
        <w:t xml:space="preserve"> </w:t>
      </w:r>
      <w:hyperlink r:id="rId28" w:history="1">
        <w:r w:rsidR="00E303D7" w:rsidRPr="004539D1">
          <w:rPr>
            <w:rStyle w:val="Hyperlink"/>
            <w:rFonts w:cstheme="minorHAnsi"/>
          </w:rPr>
          <w:t>https://www.wcpfc.int/node/46613</w:t>
        </w:r>
      </w:hyperlink>
      <w:r w:rsidR="00E303D7" w:rsidRPr="004539D1">
        <w:rPr>
          <w:rFonts w:cstheme="minorHAnsi"/>
        </w:rPr>
        <w:t xml:space="preserve"> </w:t>
      </w:r>
    </w:p>
    <w:p w14:paraId="1FAB35D0" w14:textId="77777777" w:rsidR="00E46C3A" w:rsidRPr="004539D1" w:rsidRDefault="00E46C3A" w:rsidP="00CE2779">
      <w:pPr>
        <w:adjustRightInd w:val="0"/>
        <w:snapToGrid w:val="0"/>
        <w:spacing w:after="0" w:line="240" w:lineRule="auto"/>
        <w:rPr>
          <w:rFonts w:cstheme="minorHAnsi"/>
        </w:rPr>
      </w:pPr>
    </w:p>
    <w:p w14:paraId="063C2597" w14:textId="77777777" w:rsidR="00E46C3A" w:rsidRPr="004539D1" w:rsidRDefault="00E46C3A" w:rsidP="00CE2779">
      <w:pPr>
        <w:adjustRightInd w:val="0"/>
        <w:snapToGrid w:val="0"/>
        <w:spacing w:after="0" w:line="240" w:lineRule="auto"/>
        <w:rPr>
          <w:rFonts w:cstheme="minorHAnsi"/>
        </w:rPr>
      </w:pPr>
      <w:r w:rsidRPr="004539D1">
        <w:rPr>
          <w:rFonts w:cstheme="minorHAnsi"/>
        </w:rPr>
        <w:t>For current information related to Northern Stocks</w:t>
      </w:r>
      <w:r w:rsidR="008167E8" w:rsidRPr="004539D1">
        <w:rPr>
          <w:rFonts w:cstheme="minorHAnsi"/>
        </w:rPr>
        <w:t xml:space="preserve"> Working Group Reports</w:t>
      </w:r>
      <w:r w:rsidRPr="004539D1">
        <w:rPr>
          <w:rFonts w:cstheme="minorHAnsi"/>
        </w:rPr>
        <w:t xml:space="preserve"> and the ISC Plenary Report:</w:t>
      </w:r>
    </w:p>
    <w:p w14:paraId="3DA5F8B1" w14:textId="2ACE5EFA" w:rsidR="002273A0" w:rsidRPr="004539D1" w:rsidRDefault="00000000" w:rsidP="00CE2779">
      <w:pPr>
        <w:adjustRightInd w:val="0"/>
        <w:snapToGrid w:val="0"/>
        <w:spacing w:after="0" w:line="240" w:lineRule="auto"/>
        <w:rPr>
          <w:rFonts w:cstheme="minorHAnsi"/>
        </w:rPr>
      </w:pPr>
      <w:hyperlink r:id="rId29" w:history="1">
        <w:r w:rsidR="00E303D7" w:rsidRPr="004539D1">
          <w:rPr>
            <w:rStyle w:val="Hyperlink"/>
            <w:rFonts w:cstheme="minorHAnsi"/>
          </w:rPr>
          <w:t>http://isc.fra.go.jp/reports/isc/isc20_reports.html</w:t>
        </w:r>
      </w:hyperlink>
      <w:r w:rsidR="00E303D7" w:rsidRPr="004539D1">
        <w:rPr>
          <w:rFonts w:cstheme="minorHAnsi"/>
        </w:rPr>
        <w:t xml:space="preserve"> </w:t>
      </w:r>
      <w:r w:rsidR="002273A0" w:rsidRPr="004539D1">
        <w:rPr>
          <w:rFonts w:cstheme="minorHAnsi"/>
        </w:rPr>
        <w:t xml:space="preserve"> </w:t>
      </w:r>
    </w:p>
    <w:p w14:paraId="5D1AF380" w14:textId="77777777" w:rsidR="004D0AED" w:rsidRPr="004539D1" w:rsidRDefault="004D0AED" w:rsidP="00CE2779">
      <w:pPr>
        <w:adjustRightInd w:val="0"/>
        <w:snapToGrid w:val="0"/>
        <w:spacing w:after="0" w:line="240" w:lineRule="auto"/>
        <w:rPr>
          <w:rFonts w:cstheme="minorHAnsi"/>
        </w:rPr>
      </w:pPr>
    </w:p>
    <w:p w14:paraId="67407DC6" w14:textId="77777777" w:rsidR="007409C2" w:rsidRPr="004539D1" w:rsidRDefault="007409C2" w:rsidP="007409C2">
      <w:pPr>
        <w:adjustRightInd w:val="0"/>
        <w:snapToGrid w:val="0"/>
        <w:spacing w:after="0" w:line="240" w:lineRule="auto"/>
        <w:rPr>
          <w:rFonts w:cstheme="minorHAnsi"/>
        </w:rPr>
      </w:pPr>
      <w:r w:rsidRPr="004539D1">
        <w:rPr>
          <w:rFonts w:cstheme="minorHAnsi"/>
        </w:rPr>
        <w:t>SC13-SA-WP-09 Stock Assessment of Albacore in the North Pacific Ocean in 2017 Rev 2(approved version) (29 July 2017). Report of the Albacore Working Group (ISC).</w:t>
      </w:r>
    </w:p>
    <w:p w14:paraId="111B816A" w14:textId="3BABAD1A" w:rsidR="007409C2" w:rsidRPr="004539D1" w:rsidRDefault="00000000" w:rsidP="007409C2">
      <w:pPr>
        <w:adjustRightInd w:val="0"/>
        <w:snapToGrid w:val="0"/>
        <w:spacing w:after="0" w:line="240" w:lineRule="auto"/>
        <w:rPr>
          <w:rStyle w:val="Hyperlink"/>
          <w:rFonts w:cstheme="minorHAnsi"/>
        </w:rPr>
      </w:pPr>
      <w:hyperlink r:id="rId30" w:history="1">
        <w:r w:rsidR="007409C2" w:rsidRPr="004539D1">
          <w:rPr>
            <w:rStyle w:val="Hyperlink"/>
            <w:rFonts w:cstheme="minorHAnsi"/>
          </w:rPr>
          <w:t>https://www.wcpfc.int/node/29522</w:t>
        </w:r>
      </w:hyperlink>
    </w:p>
    <w:p w14:paraId="441C8600" w14:textId="77777777" w:rsidR="007409C2" w:rsidRPr="004539D1" w:rsidRDefault="007409C2" w:rsidP="007409C2">
      <w:pPr>
        <w:adjustRightInd w:val="0"/>
        <w:snapToGrid w:val="0"/>
        <w:spacing w:after="0" w:line="240" w:lineRule="auto"/>
        <w:rPr>
          <w:rFonts w:cstheme="minorHAnsi"/>
        </w:rPr>
      </w:pPr>
    </w:p>
    <w:p w14:paraId="397CA56D" w14:textId="007484E9" w:rsidR="00E46C3A" w:rsidRPr="004539D1" w:rsidRDefault="004F2924" w:rsidP="00CE2779">
      <w:pPr>
        <w:adjustRightInd w:val="0"/>
        <w:snapToGrid w:val="0"/>
        <w:spacing w:after="0" w:line="240" w:lineRule="auto"/>
        <w:rPr>
          <w:rFonts w:cstheme="minorHAnsi"/>
        </w:rPr>
      </w:pPr>
      <w:r w:rsidRPr="004539D1">
        <w:rPr>
          <w:rFonts w:cstheme="minorHAnsi"/>
        </w:rPr>
        <w:t xml:space="preserve">SC10-SA-WP-12 Stock Assessment of Albacore Tuna in the North Pacific Ocean in 2014. </w:t>
      </w:r>
      <w:hyperlink r:id="rId31" w:history="1">
        <w:r w:rsidRPr="004539D1">
          <w:rPr>
            <w:rStyle w:val="Hyperlink"/>
            <w:rFonts w:cstheme="minorHAnsi"/>
          </w:rPr>
          <w:t>https://wcpfc.int/node/19202</w:t>
        </w:r>
      </w:hyperlink>
      <w:r w:rsidRPr="004539D1">
        <w:rPr>
          <w:rFonts w:cstheme="minorHAnsi"/>
        </w:rPr>
        <w:t xml:space="preserve"> </w:t>
      </w:r>
    </w:p>
    <w:p w14:paraId="7DE31AE4" w14:textId="77777777" w:rsidR="00FE1469" w:rsidRPr="004539D1" w:rsidRDefault="00FE1469" w:rsidP="00CE2779">
      <w:pPr>
        <w:adjustRightInd w:val="0"/>
        <w:snapToGrid w:val="0"/>
        <w:spacing w:after="0" w:line="240" w:lineRule="auto"/>
        <w:rPr>
          <w:rFonts w:cstheme="minorHAnsi"/>
        </w:rPr>
      </w:pPr>
    </w:p>
    <w:p w14:paraId="0C8B9AF0" w14:textId="77777777" w:rsidR="00FE1469" w:rsidRPr="004539D1" w:rsidRDefault="00FE1469" w:rsidP="00CE2779">
      <w:pPr>
        <w:adjustRightInd w:val="0"/>
        <w:snapToGrid w:val="0"/>
        <w:spacing w:after="0" w:line="240" w:lineRule="auto"/>
        <w:rPr>
          <w:rFonts w:cstheme="minorHAnsi"/>
        </w:rPr>
      </w:pPr>
      <w:r w:rsidRPr="004539D1">
        <w:rPr>
          <w:rFonts w:cstheme="minorHAnsi"/>
        </w:rPr>
        <w:t xml:space="preserve">SC7-SA-WP-10 Stock assessment of albacore tuna in the North Pacific Ocean in 2011. </w:t>
      </w:r>
      <w:hyperlink r:id="rId32" w:history="1">
        <w:r w:rsidRPr="004539D1">
          <w:rPr>
            <w:rStyle w:val="Hyperlink"/>
            <w:rFonts w:cstheme="minorHAnsi"/>
          </w:rPr>
          <w:t>https://wcpfc.int/node/2860</w:t>
        </w:r>
      </w:hyperlink>
      <w:r w:rsidRPr="004539D1">
        <w:rPr>
          <w:rFonts w:cstheme="minorHAnsi"/>
        </w:rPr>
        <w:t xml:space="preserve"> </w:t>
      </w:r>
    </w:p>
    <w:p w14:paraId="62C39146" w14:textId="77777777" w:rsidR="00FE1469" w:rsidRPr="004539D1" w:rsidRDefault="00FE1469" w:rsidP="00CE2779">
      <w:pPr>
        <w:adjustRightInd w:val="0"/>
        <w:snapToGrid w:val="0"/>
        <w:spacing w:after="0" w:line="240" w:lineRule="auto"/>
        <w:rPr>
          <w:rFonts w:cstheme="minorHAnsi"/>
        </w:rPr>
      </w:pPr>
    </w:p>
    <w:p w14:paraId="03A90B17" w14:textId="77777777" w:rsidR="00FE1469" w:rsidRPr="004539D1" w:rsidRDefault="00FE1469" w:rsidP="00CE2779">
      <w:pPr>
        <w:adjustRightInd w:val="0"/>
        <w:snapToGrid w:val="0"/>
        <w:spacing w:after="0" w:line="240" w:lineRule="auto"/>
        <w:rPr>
          <w:rFonts w:cstheme="minorHAnsi"/>
        </w:rPr>
      </w:pPr>
    </w:p>
    <w:sectPr w:rsidR="00FE1469" w:rsidRPr="004539D1" w:rsidSect="00F61E56">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C8A2D" w14:textId="77777777" w:rsidR="00F61E56" w:rsidRDefault="00F61E56" w:rsidP="005C2B8D">
      <w:pPr>
        <w:spacing w:after="0" w:line="240" w:lineRule="auto"/>
      </w:pPr>
      <w:r>
        <w:separator/>
      </w:r>
    </w:p>
  </w:endnote>
  <w:endnote w:type="continuationSeparator" w:id="0">
    <w:p w14:paraId="1CA16CA6" w14:textId="77777777" w:rsidR="00F61E56" w:rsidRDefault="00F61E56" w:rsidP="005C2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5214893"/>
      <w:docPartObj>
        <w:docPartGallery w:val="Page Numbers (Bottom of Page)"/>
        <w:docPartUnique/>
      </w:docPartObj>
    </w:sdtPr>
    <w:sdtEndPr>
      <w:rPr>
        <w:noProof/>
      </w:rPr>
    </w:sdtEndPr>
    <w:sdtContent>
      <w:p w14:paraId="686D7208" w14:textId="77777777" w:rsidR="00C13471" w:rsidRDefault="00C13471">
        <w:pPr>
          <w:pStyle w:val="Footer"/>
          <w:jc w:val="center"/>
        </w:pPr>
        <w:r>
          <w:fldChar w:fldCharType="begin"/>
        </w:r>
        <w:r>
          <w:instrText xml:space="preserve"> PAGE   \* MERGEFORMAT </w:instrText>
        </w:r>
        <w:r>
          <w:fldChar w:fldCharType="separate"/>
        </w:r>
        <w:r>
          <w:rPr>
            <w:noProof/>
          </w:rPr>
          <w:t>xxv</w:t>
        </w:r>
        <w:r>
          <w:rPr>
            <w:noProof/>
          </w:rPr>
          <w:fldChar w:fldCharType="end"/>
        </w:r>
      </w:p>
    </w:sdtContent>
  </w:sdt>
  <w:p w14:paraId="49BC7B04" w14:textId="77777777" w:rsidR="00C13471" w:rsidRDefault="00C134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6353592"/>
      <w:docPartObj>
        <w:docPartGallery w:val="Page Numbers (Bottom of Page)"/>
        <w:docPartUnique/>
      </w:docPartObj>
    </w:sdtPr>
    <w:sdtEndPr>
      <w:rPr>
        <w:noProof/>
      </w:rPr>
    </w:sdtEndPr>
    <w:sdtContent>
      <w:p w14:paraId="3BA641A0" w14:textId="77777777" w:rsidR="00550074" w:rsidRDefault="00550074">
        <w:pPr>
          <w:pStyle w:val="Footer"/>
          <w:jc w:val="center"/>
        </w:pPr>
        <w:r>
          <w:fldChar w:fldCharType="begin"/>
        </w:r>
        <w:r>
          <w:instrText xml:space="preserve"> PAGE   \* MERGEFORMAT </w:instrText>
        </w:r>
        <w:r>
          <w:fldChar w:fldCharType="separate"/>
        </w:r>
        <w:r w:rsidR="00585DA0">
          <w:rPr>
            <w:noProof/>
          </w:rPr>
          <w:t>3</w:t>
        </w:r>
        <w:r>
          <w:rPr>
            <w:noProof/>
          </w:rPr>
          <w:fldChar w:fldCharType="end"/>
        </w:r>
      </w:p>
    </w:sdtContent>
  </w:sdt>
  <w:p w14:paraId="74307861" w14:textId="77777777" w:rsidR="00550074" w:rsidRDefault="0055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D11FF" w14:textId="77777777" w:rsidR="00F61E56" w:rsidRDefault="00F61E56" w:rsidP="005C2B8D">
      <w:pPr>
        <w:spacing w:after="0" w:line="240" w:lineRule="auto"/>
      </w:pPr>
      <w:r>
        <w:separator/>
      </w:r>
    </w:p>
  </w:footnote>
  <w:footnote w:type="continuationSeparator" w:id="0">
    <w:p w14:paraId="607BC9EC" w14:textId="77777777" w:rsidR="00F61E56" w:rsidRDefault="00F61E56" w:rsidP="005C2B8D">
      <w:pPr>
        <w:spacing w:after="0" w:line="240" w:lineRule="auto"/>
      </w:pPr>
      <w:r>
        <w:continuationSeparator/>
      </w:r>
    </w:p>
  </w:footnote>
  <w:footnote w:id="1">
    <w:p w14:paraId="64172EDB" w14:textId="77777777" w:rsidR="00C13471" w:rsidRPr="00686165" w:rsidRDefault="00C13471" w:rsidP="00C13471">
      <w:pPr>
        <w:pStyle w:val="FootnoteText"/>
        <w:rPr>
          <w:rFonts w:cs="Times New Roman"/>
        </w:rPr>
      </w:pPr>
      <w:r w:rsidRPr="00686165">
        <w:rPr>
          <w:rStyle w:val="FootnoteReference"/>
          <w:rFonts w:cs="Times New Roman"/>
        </w:rPr>
        <w:footnoteRef/>
      </w:r>
      <w:r w:rsidRPr="00686165">
        <w:rPr>
          <w:rFonts w:eastAsia="Cambria" w:cs="Times New Roman"/>
        </w:rPr>
        <w:t>It should be noted that the constant catch scenario is inconsistent with current management approaches for north Pacific albacore tuna adopted by the Inter-American Tropical Tuna Commission (IATTC) and the Western and Central Pacific Fisheries Commission (WCPFC).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A3CBA"/>
    <w:multiLevelType w:val="hybridMultilevel"/>
    <w:tmpl w:val="FD929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71469"/>
    <w:multiLevelType w:val="hybridMultilevel"/>
    <w:tmpl w:val="5CCEA89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4D5FA3"/>
    <w:multiLevelType w:val="hybridMultilevel"/>
    <w:tmpl w:val="A9081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713112"/>
    <w:multiLevelType w:val="hybridMultilevel"/>
    <w:tmpl w:val="19A67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2BE0D7A"/>
    <w:multiLevelType w:val="hybridMultilevel"/>
    <w:tmpl w:val="5D9453D2"/>
    <w:lvl w:ilvl="0" w:tplc="0409000F">
      <w:start w:val="1"/>
      <w:numFmt w:val="decimal"/>
      <w:lvlText w:val="%1."/>
      <w:lvlJc w:val="left"/>
      <w:pPr>
        <w:ind w:left="567" w:hanging="567"/>
      </w:pPr>
      <w:rPr>
        <w:rFonts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F980471"/>
    <w:multiLevelType w:val="hybridMultilevel"/>
    <w:tmpl w:val="FF109EEE"/>
    <w:lvl w:ilvl="0" w:tplc="61D23F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7023EB"/>
    <w:multiLevelType w:val="multilevel"/>
    <w:tmpl w:val="27A688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CA4859"/>
    <w:multiLevelType w:val="hybridMultilevel"/>
    <w:tmpl w:val="7ED2BA5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709250E"/>
    <w:multiLevelType w:val="hybridMultilevel"/>
    <w:tmpl w:val="00B0B442"/>
    <w:lvl w:ilvl="0" w:tplc="54547EE8">
      <w:start w:val="1"/>
      <w:numFmt w:val="decimal"/>
      <w:pStyle w:val="WCPFC"/>
      <w:lvlText w:val="%1."/>
      <w:lvlJc w:val="left"/>
      <w:pPr>
        <w:ind w:left="567" w:hanging="567"/>
      </w:pPr>
      <w:rPr>
        <w:rFonts w:ascii="Times New Roman" w:hAnsi="Times New Roman" w:cs="Times New Roman" w:hint="default"/>
        <w:b w:val="0"/>
        <w:i w:val="0"/>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3E12747B"/>
    <w:multiLevelType w:val="hybridMultilevel"/>
    <w:tmpl w:val="D160E26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F530482"/>
    <w:multiLevelType w:val="hybridMultilevel"/>
    <w:tmpl w:val="32EE245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A461A3E"/>
    <w:multiLevelType w:val="hybridMultilevel"/>
    <w:tmpl w:val="167CDF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126600"/>
    <w:multiLevelType w:val="hybridMultilevel"/>
    <w:tmpl w:val="F26A5F06"/>
    <w:lvl w:ilvl="0" w:tplc="EFD2FA4C">
      <w:start w:val="313"/>
      <w:numFmt w:val="decimal"/>
      <w:lvlText w:val="%1."/>
      <w:lvlJc w:val="left"/>
      <w:pPr>
        <w:ind w:left="36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838AA5F0">
      <w:start w:val="1"/>
      <w:numFmt w:val="lowerLetter"/>
      <w:lvlText w:val="%4)"/>
      <w:lvlJc w:val="left"/>
      <w:pPr>
        <w:ind w:left="2880" w:hanging="360"/>
      </w:pPr>
      <w:rPr>
        <w:rFonts w:eastAsiaTheme="minorEastAsia"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4D295603"/>
    <w:multiLevelType w:val="hybridMultilevel"/>
    <w:tmpl w:val="534CFD1E"/>
    <w:lvl w:ilvl="0" w:tplc="FF4233D2">
      <w:start w:val="1"/>
      <w:numFmt w:val="lowerLetter"/>
      <w:lvlText w:val="%1."/>
      <w:lvlJc w:val="left"/>
      <w:pPr>
        <w:ind w:left="-360" w:hanging="72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4" w15:restartNumberingAfterBreak="0">
    <w:nsid w:val="55B961D2"/>
    <w:multiLevelType w:val="hybridMultilevel"/>
    <w:tmpl w:val="2376D6C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3531024"/>
    <w:multiLevelType w:val="hybridMultilevel"/>
    <w:tmpl w:val="71ECFD7C"/>
    <w:lvl w:ilvl="0" w:tplc="56BE15A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43F0AA78">
      <w:start w:val="1"/>
      <w:numFmt w:val="lowerRoman"/>
      <w:lvlText w:val="(%5)"/>
      <w:lvlJc w:val="left"/>
      <w:pPr>
        <w:ind w:left="4320" w:hanging="720"/>
      </w:pPr>
      <w:rPr>
        <w:rFonts w:hint="default"/>
      </w:rPr>
    </w:lvl>
    <w:lvl w:ilvl="5" w:tplc="0B702994">
      <w:start w:val="3"/>
      <w:numFmt w:val="low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E12F78"/>
    <w:multiLevelType w:val="hybridMultilevel"/>
    <w:tmpl w:val="929E42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101365758">
    <w:abstractNumId w:val="12"/>
  </w:num>
  <w:num w:numId="2" w16cid:durableId="854223227">
    <w:abstractNumId w:val="8"/>
  </w:num>
  <w:num w:numId="3" w16cid:durableId="1085493174">
    <w:abstractNumId w:val="3"/>
  </w:num>
  <w:num w:numId="4" w16cid:durableId="793905535">
    <w:abstractNumId w:val="11"/>
  </w:num>
  <w:num w:numId="5" w16cid:durableId="1533834578">
    <w:abstractNumId w:val="15"/>
  </w:num>
  <w:num w:numId="6" w16cid:durableId="2056391405">
    <w:abstractNumId w:val="2"/>
  </w:num>
  <w:num w:numId="7" w16cid:durableId="103112980">
    <w:abstractNumId w:val="8"/>
    <w:lvlOverride w:ilvl="0">
      <w:startOverride w:val="1"/>
    </w:lvlOverride>
  </w:num>
  <w:num w:numId="8" w16cid:durableId="1074208210">
    <w:abstractNumId w:val="5"/>
  </w:num>
  <w:num w:numId="9" w16cid:durableId="371929395">
    <w:abstractNumId w:val="16"/>
  </w:num>
  <w:num w:numId="10" w16cid:durableId="1033387017">
    <w:abstractNumId w:val="14"/>
  </w:num>
  <w:num w:numId="11" w16cid:durableId="2007172698">
    <w:abstractNumId w:val="6"/>
  </w:num>
  <w:num w:numId="12" w16cid:durableId="120850434">
    <w:abstractNumId w:val="4"/>
  </w:num>
  <w:num w:numId="13" w16cid:durableId="1092627725">
    <w:abstractNumId w:val="8"/>
  </w:num>
  <w:num w:numId="14" w16cid:durableId="1805851489">
    <w:abstractNumId w:val="8"/>
  </w:num>
  <w:num w:numId="15" w16cid:durableId="1651596440">
    <w:abstractNumId w:val="13"/>
  </w:num>
  <w:num w:numId="16" w16cid:durableId="1926764194">
    <w:abstractNumId w:val="0"/>
  </w:num>
  <w:num w:numId="17" w16cid:durableId="1831601917">
    <w:abstractNumId w:val="7"/>
  </w:num>
  <w:num w:numId="18" w16cid:durableId="652950506">
    <w:abstractNumId w:val="9"/>
  </w:num>
  <w:num w:numId="19" w16cid:durableId="103304019">
    <w:abstractNumId w:val="1"/>
  </w:num>
  <w:num w:numId="20" w16cid:durableId="16953514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5DF"/>
    <w:rsid w:val="000211DC"/>
    <w:rsid w:val="00043902"/>
    <w:rsid w:val="00154CB4"/>
    <w:rsid w:val="001C3938"/>
    <w:rsid w:val="001E7114"/>
    <w:rsid w:val="002273A0"/>
    <w:rsid w:val="002D086C"/>
    <w:rsid w:val="003060E3"/>
    <w:rsid w:val="0034023C"/>
    <w:rsid w:val="0038155A"/>
    <w:rsid w:val="0038238E"/>
    <w:rsid w:val="004375B8"/>
    <w:rsid w:val="0045382F"/>
    <w:rsid w:val="004539D1"/>
    <w:rsid w:val="00466389"/>
    <w:rsid w:val="004B05DF"/>
    <w:rsid w:val="004D0AED"/>
    <w:rsid w:val="004F2924"/>
    <w:rsid w:val="005374AB"/>
    <w:rsid w:val="00550074"/>
    <w:rsid w:val="00585DA0"/>
    <w:rsid w:val="005A39D1"/>
    <w:rsid w:val="005A5AA1"/>
    <w:rsid w:val="005C2B8D"/>
    <w:rsid w:val="006113EF"/>
    <w:rsid w:val="006A51C4"/>
    <w:rsid w:val="0073054D"/>
    <w:rsid w:val="007409C2"/>
    <w:rsid w:val="007D16AB"/>
    <w:rsid w:val="007F084A"/>
    <w:rsid w:val="008167E8"/>
    <w:rsid w:val="00867480"/>
    <w:rsid w:val="008F7066"/>
    <w:rsid w:val="0095517E"/>
    <w:rsid w:val="009C1672"/>
    <w:rsid w:val="00A418A4"/>
    <w:rsid w:val="00A60772"/>
    <w:rsid w:val="00C13471"/>
    <w:rsid w:val="00C64AF4"/>
    <w:rsid w:val="00C762FB"/>
    <w:rsid w:val="00C82768"/>
    <w:rsid w:val="00CC3DC6"/>
    <w:rsid w:val="00CC59BE"/>
    <w:rsid w:val="00CC7782"/>
    <w:rsid w:val="00CE2779"/>
    <w:rsid w:val="00CF0B93"/>
    <w:rsid w:val="00D3075F"/>
    <w:rsid w:val="00DF1717"/>
    <w:rsid w:val="00E303D7"/>
    <w:rsid w:val="00E46C3A"/>
    <w:rsid w:val="00E76266"/>
    <w:rsid w:val="00EC1DB2"/>
    <w:rsid w:val="00ED19B2"/>
    <w:rsid w:val="00EE0CD2"/>
    <w:rsid w:val="00EF1506"/>
    <w:rsid w:val="00F61E56"/>
    <w:rsid w:val="00FB657D"/>
    <w:rsid w:val="00FE14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2DB3C6"/>
  <w15:chartTrackingRefBased/>
  <w15:docId w15:val="{59C73EB7-BA29-4ED8-84F2-A975266B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05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5C2B8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374A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374AB"/>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5D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B05DF"/>
    <w:pPr>
      <w:outlineLvl w:val="9"/>
    </w:pPr>
  </w:style>
  <w:style w:type="paragraph" w:styleId="TOC1">
    <w:name w:val="toc 1"/>
    <w:basedOn w:val="Normal"/>
    <w:next w:val="Normal"/>
    <w:autoRedefine/>
    <w:uiPriority w:val="39"/>
    <w:unhideWhenUsed/>
    <w:rsid w:val="004D0AED"/>
    <w:pPr>
      <w:tabs>
        <w:tab w:val="right" w:leader="dot" w:pos="9350"/>
      </w:tabs>
      <w:adjustRightInd w:val="0"/>
      <w:snapToGrid w:val="0"/>
      <w:spacing w:after="240" w:line="240" w:lineRule="auto"/>
    </w:pPr>
    <w:rPr>
      <w:rFonts w:ascii="Times New Roman Bold" w:eastAsia="MS Mincho" w:hAnsi="Times New Roman Bold" w:cs="Times New Roman"/>
      <w:b/>
      <w:bCs/>
      <w:caps/>
      <w:noProof/>
      <w:lang w:val="en-NZ" w:eastAsia="en-NZ"/>
    </w:rPr>
  </w:style>
  <w:style w:type="character" w:styleId="Hyperlink">
    <w:name w:val="Hyperlink"/>
    <w:basedOn w:val="DefaultParagraphFont"/>
    <w:uiPriority w:val="99"/>
    <w:unhideWhenUsed/>
    <w:rsid w:val="004B05DF"/>
    <w:rPr>
      <w:color w:val="0563C1" w:themeColor="hyperlink"/>
      <w:u w:val="single"/>
    </w:rPr>
  </w:style>
  <w:style w:type="paragraph" w:styleId="Caption">
    <w:name w:val="caption"/>
    <w:basedOn w:val="Normal"/>
    <w:next w:val="Normal"/>
    <w:uiPriority w:val="35"/>
    <w:unhideWhenUsed/>
    <w:qFormat/>
    <w:rsid w:val="004B05DF"/>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semiHidden/>
    <w:rsid w:val="005374AB"/>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374AB"/>
    <w:rPr>
      <w:rFonts w:asciiTheme="majorHAnsi" w:eastAsiaTheme="majorEastAsia" w:hAnsiTheme="majorHAnsi" w:cstheme="majorBidi"/>
      <w:i/>
      <w:iCs/>
      <w:color w:val="1F3763" w:themeColor="accent1" w:themeShade="7F"/>
    </w:rPr>
  </w:style>
  <w:style w:type="character" w:styleId="Mention">
    <w:name w:val="Mention"/>
    <w:basedOn w:val="DefaultParagraphFont"/>
    <w:uiPriority w:val="99"/>
    <w:semiHidden/>
    <w:unhideWhenUsed/>
    <w:rsid w:val="005374AB"/>
    <w:rPr>
      <w:color w:val="2B579A"/>
      <w:shd w:val="clear" w:color="auto" w:fill="E6E6E6"/>
    </w:rPr>
  </w:style>
  <w:style w:type="character" w:customStyle="1" w:styleId="Heading4Char">
    <w:name w:val="Heading 4 Char"/>
    <w:basedOn w:val="DefaultParagraphFont"/>
    <w:link w:val="Heading4"/>
    <w:uiPriority w:val="9"/>
    <w:semiHidden/>
    <w:rsid w:val="005C2B8D"/>
    <w:rPr>
      <w:rFonts w:asciiTheme="majorHAnsi" w:eastAsiaTheme="majorEastAsia" w:hAnsiTheme="majorHAnsi" w:cstheme="majorBidi"/>
      <w:i/>
      <w:iCs/>
      <w:color w:val="2F5496" w:themeColor="accent1" w:themeShade="BF"/>
    </w:rPr>
  </w:style>
  <w:style w:type="paragraph" w:customStyle="1" w:styleId="FootnoteText1">
    <w:name w:val="Footnote Text1"/>
    <w:basedOn w:val="Normal"/>
    <w:next w:val="FootnoteText"/>
    <w:link w:val="FootnoteTextChar"/>
    <w:uiPriority w:val="99"/>
    <w:semiHidden/>
    <w:unhideWhenUsed/>
    <w:rsid w:val="0073054D"/>
    <w:pPr>
      <w:spacing w:after="0" w:line="240" w:lineRule="auto"/>
    </w:pPr>
    <w:rPr>
      <w:sz w:val="20"/>
      <w:szCs w:val="20"/>
    </w:rPr>
  </w:style>
  <w:style w:type="character" w:customStyle="1" w:styleId="FootnoteTextChar">
    <w:name w:val="Footnote Text Char"/>
    <w:basedOn w:val="DefaultParagraphFont"/>
    <w:link w:val="FootnoteText1"/>
    <w:uiPriority w:val="99"/>
    <w:rsid w:val="0073054D"/>
    <w:rPr>
      <w:sz w:val="20"/>
      <w:szCs w:val="20"/>
    </w:rPr>
  </w:style>
  <w:style w:type="character" w:styleId="FootnoteReference">
    <w:name w:val="footnote reference"/>
    <w:basedOn w:val="DefaultParagraphFont"/>
    <w:uiPriority w:val="99"/>
    <w:unhideWhenUsed/>
    <w:rsid w:val="0073054D"/>
    <w:rPr>
      <w:vertAlign w:val="superscript"/>
    </w:rPr>
  </w:style>
  <w:style w:type="table" w:customStyle="1" w:styleId="TableGrid3">
    <w:name w:val="Table Grid3"/>
    <w:basedOn w:val="TableNormal"/>
    <w:next w:val="TableGrid"/>
    <w:rsid w:val="0073054D"/>
    <w:pPr>
      <w:spacing w:after="0" w:line="240" w:lineRule="auto"/>
    </w:pPr>
    <w:rPr>
      <w:rFonts w:eastAsia="MS Minch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1"/>
    <w:uiPriority w:val="99"/>
    <w:unhideWhenUsed/>
    <w:rsid w:val="0073054D"/>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054D"/>
    <w:rPr>
      <w:sz w:val="20"/>
      <w:szCs w:val="20"/>
    </w:rPr>
  </w:style>
  <w:style w:type="table" w:styleId="TableGrid">
    <w:name w:val="Table Grid"/>
    <w:basedOn w:val="TableNormal"/>
    <w:uiPriority w:val="39"/>
    <w:rsid w:val="00730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074"/>
  </w:style>
  <w:style w:type="paragraph" w:styleId="Footer">
    <w:name w:val="footer"/>
    <w:basedOn w:val="Normal"/>
    <w:link w:val="FooterChar"/>
    <w:uiPriority w:val="99"/>
    <w:unhideWhenUsed/>
    <w:rsid w:val="00550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074"/>
  </w:style>
  <w:style w:type="character" w:customStyle="1" w:styleId="WCPFCChar">
    <w:name w:val="WCPFC Char"/>
    <w:link w:val="WCPFC"/>
    <w:locked/>
    <w:rsid w:val="0038238E"/>
    <w:rPr>
      <w:rFonts w:ascii="Times New Roman" w:hAnsi="Times New Roman"/>
      <w:lang w:val="en-NZ" w:eastAsia="en-NZ"/>
    </w:rPr>
  </w:style>
  <w:style w:type="paragraph" w:customStyle="1" w:styleId="WCPFC">
    <w:name w:val="WCPFC"/>
    <w:link w:val="WCPFCChar"/>
    <w:qFormat/>
    <w:rsid w:val="0038238E"/>
    <w:pPr>
      <w:numPr>
        <w:numId w:val="2"/>
      </w:numPr>
      <w:snapToGrid w:val="0"/>
      <w:spacing w:after="240" w:line="240" w:lineRule="auto"/>
      <w:jc w:val="both"/>
    </w:pPr>
    <w:rPr>
      <w:rFonts w:ascii="Times New Roman" w:hAnsi="Times New Roman"/>
      <w:lang w:val="en-NZ" w:eastAsia="en-NZ"/>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38238E"/>
    <w:pPr>
      <w:spacing w:after="0" w:line="240" w:lineRule="auto"/>
      <w:ind w:left="720" w:hanging="720"/>
      <w:contextualSpacing/>
      <w:jc w:val="both"/>
    </w:pPr>
    <w:rPr>
      <w:rFonts w:ascii="Calibri" w:eastAsiaTheme="minorEastAsia" w:hAnsi="Calibri" w:cs="Times New Roman"/>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38238E"/>
    <w:rPr>
      <w:rFonts w:ascii="Calibri" w:eastAsiaTheme="minorEastAsia" w:hAnsi="Calibri" w:cs="Times New Roman"/>
      <w:lang w:val="en-NZ"/>
    </w:rPr>
  </w:style>
  <w:style w:type="character" w:styleId="UnresolvedMention">
    <w:name w:val="Unresolved Mention"/>
    <w:basedOn w:val="DefaultParagraphFont"/>
    <w:uiPriority w:val="99"/>
    <w:semiHidden/>
    <w:unhideWhenUsed/>
    <w:rsid w:val="00E46C3A"/>
    <w:rPr>
      <w:color w:val="808080"/>
      <w:shd w:val="clear" w:color="auto" w:fill="E6E6E6"/>
    </w:rPr>
  </w:style>
  <w:style w:type="paragraph" w:styleId="BodyText">
    <w:name w:val="Body Text"/>
    <w:basedOn w:val="Normal"/>
    <w:link w:val="BodyTextChar"/>
    <w:uiPriority w:val="1"/>
    <w:qFormat/>
    <w:rsid w:val="0045382F"/>
    <w:pPr>
      <w:widowControl w:val="0"/>
      <w:autoSpaceDE w:val="0"/>
      <w:autoSpaceDN w:val="0"/>
      <w:spacing w:after="0" w:line="240" w:lineRule="auto"/>
    </w:pPr>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45382F"/>
    <w:rPr>
      <w:rFonts w:ascii="Times New Roman" w:eastAsia="Times New Roman" w:hAnsi="Times New Roman" w:cs="Times New Roman"/>
      <w:b/>
      <w:bCs/>
    </w:rPr>
  </w:style>
  <w:style w:type="paragraph" w:customStyle="1" w:styleId="WCPFCpara">
    <w:name w:val="@WCPFC_para"/>
    <w:basedOn w:val="ListParagraph"/>
    <w:link w:val="WCPFCparaChar"/>
    <w:qFormat/>
    <w:rsid w:val="005A39D1"/>
    <w:pPr>
      <w:widowControl w:val="0"/>
      <w:kinsoku w:val="0"/>
      <w:overflowPunct w:val="0"/>
      <w:autoSpaceDE w:val="0"/>
      <w:autoSpaceDN w:val="0"/>
      <w:adjustRightInd w:val="0"/>
      <w:snapToGrid w:val="0"/>
      <w:spacing w:after="120"/>
      <w:ind w:left="1080" w:hanging="360"/>
      <w:contextualSpacing w:val="0"/>
    </w:pPr>
    <w:rPr>
      <w:rFonts w:ascii="Times New Roman" w:eastAsia="Times New Roman" w:hAnsi="Times New Roman"/>
      <w:lang w:val="en-GB"/>
    </w:rPr>
  </w:style>
  <w:style w:type="character" w:customStyle="1" w:styleId="WCPFCparaChar">
    <w:name w:val="@WCPFC_para Char"/>
    <w:basedOn w:val="DefaultParagraphFont"/>
    <w:link w:val="WCPFCpara"/>
    <w:rsid w:val="005A39D1"/>
    <w:rPr>
      <w:rFonts w:ascii="Times New Roman" w:eastAsia="Times New Roman" w:hAnsi="Times New Roman" w:cs="Times New Roman"/>
      <w:lang w:val="en-GB"/>
    </w:rPr>
  </w:style>
  <w:style w:type="paragraph" w:customStyle="1" w:styleId="WCPFC1LIST">
    <w:name w:val="@WCPFC1 LIST"/>
    <w:basedOn w:val="WCPFCpara"/>
    <w:link w:val="WCPFC1LISTChar"/>
    <w:qFormat/>
    <w:rsid w:val="005A39D1"/>
    <w:pPr>
      <w:ind w:left="1800"/>
    </w:pPr>
  </w:style>
  <w:style w:type="character" w:customStyle="1" w:styleId="WCPFC1LISTChar">
    <w:name w:val="@WCPFC1 LIST Char"/>
    <w:basedOn w:val="DefaultParagraphFont"/>
    <w:link w:val="WCPFC1LIST"/>
    <w:rsid w:val="005A39D1"/>
    <w:rPr>
      <w:rFonts w:ascii="Times New Roman" w:eastAsia="Times New Roman" w:hAnsi="Times New Roman"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oleObject" Target="embeddings/oleObject1.bin"/><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png"/><Relationship Id="rId29" Type="http://schemas.openxmlformats.org/officeDocument/2006/relationships/hyperlink" Target="http://isc.fra.go.jp/reports/isc/isc20_report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4.png"/><Relationship Id="rId32" Type="http://schemas.openxmlformats.org/officeDocument/2006/relationships/hyperlink" Target="https://wcpfc.int/node/2860"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yperlink" Target="https://www.wcpfc.int/node/29904" TargetMode="External"/><Relationship Id="rId28" Type="http://schemas.openxmlformats.org/officeDocument/2006/relationships/hyperlink" Target="https://www.wcpfc.int/node/46613" TargetMode="External"/><Relationship Id="rId10" Type="http://schemas.openxmlformats.org/officeDocument/2006/relationships/image" Target="media/image3.emf"/><Relationship Id="rId19" Type="http://schemas.openxmlformats.org/officeDocument/2006/relationships/footer" Target="footer1.xml"/><Relationship Id="rId31" Type="http://schemas.openxmlformats.org/officeDocument/2006/relationships/hyperlink" Target="https://wcpfc.int/node/19202"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hyperlink" Target="https://www.wcpfc.int/node/29904" TargetMode="External"/><Relationship Id="rId27" Type="http://schemas.openxmlformats.org/officeDocument/2006/relationships/oleObject" Target="embeddings/oleObject2.bin"/><Relationship Id="rId30" Type="http://schemas.openxmlformats.org/officeDocument/2006/relationships/hyperlink" Target="https://www.wcpfc.int/node/29522"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6E295F-412B-4D8A-B999-5027126D7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5545</Words>
  <Characters>30667</Characters>
  <Application>Microsoft Office Word</Application>
  <DocSecurity>0</DocSecurity>
  <Lines>989</Lines>
  <Paragraphs>613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J. Beeching</dc:creator>
  <cp:keywords/>
  <dc:description/>
  <cp:lastModifiedBy>WCPFC</cp:lastModifiedBy>
  <cp:revision>2</cp:revision>
  <dcterms:created xsi:type="dcterms:W3CDTF">2024-02-28T23:11:00Z</dcterms:created>
  <dcterms:modified xsi:type="dcterms:W3CDTF">2024-02-28T23:11:00Z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7fbe48d118be1d1e5efc93e08f67c1e02cc6d4d3d0a333f3b21d79fff8cd10f1</vt:lpwstr>
  </property>
</Properties>
</file>