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77A2A" w14:textId="77777777" w:rsidR="00493657" w:rsidRPr="00DA0EE6" w:rsidRDefault="00493657" w:rsidP="00CA3AFC">
      <w:pPr>
        <w:autoSpaceDE w:val="0"/>
        <w:autoSpaceDN w:val="0"/>
        <w:adjustRightInd w:val="0"/>
        <w:snapToGrid w:val="0"/>
        <w:spacing w:after="0" w:line="240" w:lineRule="auto"/>
        <w:jc w:val="center"/>
        <w:rPr>
          <w:rFonts w:cstheme="minorHAnsi"/>
          <w:b/>
          <w:bCs/>
          <w:lang w:val="en-AU" w:eastAsia="en-NZ"/>
        </w:rPr>
      </w:pPr>
    </w:p>
    <w:p w14:paraId="2EE6A0AF" w14:textId="77777777" w:rsidR="00493657" w:rsidRPr="00DA0EE6" w:rsidRDefault="00493657" w:rsidP="00CA3AFC">
      <w:pPr>
        <w:autoSpaceDE w:val="0"/>
        <w:autoSpaceDN w:val="0"/>
        <w:adjustRightInd w:val="0"/>
        <w:snapToGrid w:val="0"/>
        <w:spacing w:after="0" w:line="240" w:lineRule="auto"/>
        <w:jc w:val="center"/>
        <w:rPr>
          <w:rFonts w:cstheme="minorHAnsi"/>
          <w:b/>
          <w:bCs/>
          <w:lang w:val="en-AU" w:eastAsia="en-NZ"/>
        </w:rPr>
      </w:pPr>
    </w:p>
    <w:p w14:paraId="60AF2420" w14:textId="68BE86B8" w:rsidR="00493657" w:rsidRPr="00DA0EE6" w:rsidRDefault="00DA0EE6" w:rsidP="00CA3AFC">
      <w:pPr>
        <w:autoSpaceDE w:val="0"/>
        <w:autoSpaceDN w:val="0"/>
        <w:adjustRightInd w:val="0"/>
        <w:snapToGrid w:val="0"/>
        <w:spacing w:after="0" w:line="240" w:lineRule="auto"/>
        <w:jc w:val="center"/>
        <w:rPr>
          <w:rFonts w:cstheme="minorHAnsi"/>
          <w:b/>
          <w:bCs/>
          <w:lang w:val="en-AU" w:eastAsia="en-NZ"/>
        </w:rPr>
      </w:pPr>
      <w:r w:rsidRPr="00DA0EE6">
        <w:rPr>
          <w:rFonts w:eastAsia="Times New Roman" w:cstheme="minorHAnsi"/>
          <w:b/>
          <w:bCs/>
          <w:noProof/>
          <w:color w:val="000000" w:themeColor="text1"/>
        </w:rPr>
        <w:drawing>
          <wp:inline distT="0" distB="0" distL="0" distR="0" wp14:anchorId="70432312" wp14:editId="5AA56EC3">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3A09D590" w14:textId="77777777" w:rsidR="00493657" w:rsidRPr="00DA0EE6" w:rsidRDefault="00493657" w:rsidP="00CA3AFC">
      <w:pPr>
        <w:autoSpaceDE w:val="0"/>
        <w:autoSpaceDN w:val="0"/>
        <w:adjustRightInd w:val="0"/>
        <w:snapToGrid w:val="0"/>
        <w:spacing w:after="0" w:line="240" w:lineRule="auto"/>
        <w:jc w:val="center"/>
        <w:rPr>
          <w:rFonts w:cstheme="minorHAnsi"/>
          <w:b/>
          <w:bCs/>
          <w:lang w:val="en-AU" w:eastAsia="en-NZ"/>
        </w:rPr>
      </w:pPr>
    </w:p>
    <w:p w14:paraId="2652CB68" w14:textId="77777777" w:rsidR="00493657" w:rsidRPr="00DA0EE6" w:rsidRDefault="00493657" w:rsidP="00CA3AFC">
      <w:pPr>
        <w:autoSpaceDE w:val="0"/>
        <w:autoSpaceDN w:val="0"/>
        <w:adjustRightInd w:val="0"/>
        <w:snapToGrid w:val="0"/>
        <w:spacing w:after="0" w:line="240" w:lineRule="auto"/>
        <w:jc w:val="center"/>
        <w:rPr>
          <w:rFonts w:cstheme="minorHAnsi"/>
          <w:b/>
          <w:bCs/>
          <w:lang w:val="en-AU" w:eastAsia="en-NZ"/>
        </w:rPr>
      </w:pPr>
    </w:p>
    <w:p w14:paraId="5152234E" w14:textId="77777777" w:rsidR="00493657" w:rsidRPr="00DA0EE6" w:rsidRDefault="00493657" w:rsidP="00CA3AFC">
      <w:pPr>
        <w:adjustRightInd w:val="0"/>
        <w:snapToGrid w:val="0"/>
        <w:spacing w:after="0" w:line="240" w:lineRule="auto"/>
        <w:jc w:val="center"/>
        <w:rPr>
          <w:rFonts w:cstheme="minorHAnsi"/>
          <w:b/>
          <w:lang w:val="en-NZ"/>
        </w:rPr>
      </w:pPr>
      <w:r w:rsidRPr="00DA0EE6">
        <w:rPr>
          <w:rFonts w:cstheme="minorHAnsi"/>
          <w:b/>
          <w:lang w:val="en-NZ"/>
        </w:rPr>
        <w:t xml:space="preserve">The Commission for the Conservation and Management of </w:t>
      </w:r>
    </w:p>
    <w:p w14:paraId="57214EF6" w14:textId="77777777" w:rsidR="00493657" w:rsidRPr="00DA0EE6" w:rsidRDefault="00493657" w:rsidP="00CA3AFC">
      <w:pPr>
        <w:adjustRightInd w:val="0"/>
        <w:snapToGrid w:val="0"/>
        <w:spacing w:after="0" w:line="240" w:lineRule="auto"/>
        <w:jc w:val="center"/>
        <w:rPr>
          <w:rFonts w:cstheme="minorHAnsi"/>
          <w:b/>
          <w:lang w:val="en-NZ"/>
        </w:rPr>
      </w:pPr>
      <w:r w:rsidRPr="00DA0EE6">
        <w:rPr>
          <w:rFonts w:cstheme="minorHAnsi"/>
          <w:b/>
          <w:lang w:val="en-NZ"/>
        </w:rPr>
        <w:t xml:space="preserve">Highly Migratory Fish Stocks in the Western and Central Pacific Ocean </w:t>
      </w:r>
    </w:p>
    <w:p w14:paraId="33DF1539" w14:textId="77777777" w:rsidR="00493657" w:rsidRPr="00DA0EE6" w:rsidRDefault="00493657" w:rsidP="00CA3AFC">
      <w:pPr>
        <w:adjustRightInd w:val="0"/>
        <w:snapToGrid w:val="0"/>
        <w:spacing w:after="0" w:line="240" w:lineRule="auto"/>
        <w:jc w:val="center"/>
        <w:rPr>
          <w:rFonts w:cstheme="minorHAnsi"/>
          <w:b/>
          <w:lang w:val="en-NZ"/>
        </w:rPr>
      </w:pPr>
    </w:p>
    <w:p w14:paraId="103E0E17" w14:textId="77777777" w:rsidR="00493657" w:rsidRPr="00DA0EE6" w:rsidRDefault="00493657" w:rsidP="00CA3AFC">
      <w:pPr>
        <w:adjustRightInd w:val="0"/>
        <w:snapToGrid w:val="0"/>
        <w:spacing w:after="0" w:line="240" w:lineRule="auto"/>
        <w:jc w:val="center"/>
        <w:rPr>
          <w:rFonts w:cstheme="minorHAnsi"/>
          <w:b/>
          <w:lang w:val="en-NZ"/>
        </w:rPr>
      </w:pPr>
    </w:p>
    <w:p w14:paraId="37AF4ECA" w14:textId="77777777" w:rsidR="00493657" w:rsidRPr="00DA0EE6" w:rsidRDefault="00493657" w:rsidP="00CA3AFC">
      <w:pPr>
        <w:adjustRightInd w:val="0"/>
        <w:snapToGrid w:val="0"/>
        <w:spacing w:after="0" w:line="240" w:lineRule="auto"/>
        <w:jc w:val="center"/>
        <w:rPr>
          <w:rFonts w:cstheme="minorHAnsi"/>
          <w:b/>
          <w:lang w:val="en-NZ"/>
        </w:rPr>
      </w:pPr>
    </w:p>
    <w:p w14:paraId="5B6E6B54" w14:textId="77777777" w:rsidR="00493657" w:rsidRPr="00DA0EE6" w:rsidRDefault="00493657" w:rsidP="00CA3AFC">
      <w:pPr>
        <w:adjustRightInd w:val="0"/>
        <w:snapToGrid w:val="0"/>
        <w:spacing w:after="0" w:line="240" w:lineRule="auto"/>
        <w:jc w:val="center"/>
        <w:rPr>
          <w:rFonts w:cstheme="minorHAnsi"/>
          <w:b/>
          <w:caps/>
          <w:lang w:val="en-NZ"/>
        </w:rPr>
      </w:pPr>
      <w:r w:rsidRPr="00DA0EE6">
        <w:rPr>
          <w:rFonts w:cstheme="minorHAnsi"/>
          <w:b/>
          <w:caps/>
          <w:lang w:val="en-NZ"/>
        </w:rPr>
        <w:t>Scientific Committee</w:t>
      </w:r>
    </w:p>
    <w:p w14:paraId="36186E73" w14:textId="78B0D9FE" w:rsidR="00493657" w:rsidRPr="00DA0EE6" w:rsidRDefault="00493657" w:rsidP="00CA3AFC">
      <w:pPr>
        <w:adjustRightInd w:val="0"/>
        <w:snapToGrid w:val="0"/>
        <w:spacing w:after="0" w:line="240" w:lineRule="auto"/>
        <w:jc w:val="center"/>
        <w:rPr>
          <w:rFonts w:cstheme="minorHAnsi"/>
          <w:b/>
          <w:lang w:val="en-NZ"/>
        </w:rPr>
      </w:pPr>
    </w:p>
    <w:p w14:paraId="33A7CF86" w14:textId="47D11109" w:rsidR="00493657" w:rsidRPr="00DA0EE6" w:rsidRDefault="00493657" w:rsidP="00CA3AFC">
      <w:pPr>
        <w:adjustRightInd w:val="0"/>
        <w:snapToGrid w:val="0"/>
        <w:spacing w:after="0" w:line="240" w:lineRule="auto"/>
        <w:jc w:val="center"/>
        <w:rPr>
          <w:rFonts w:cstheme="minorHAnsi"/>
          <w:b/>
          <w:lang w:val="en-NZ"/>
        </w:rPr>
      </w:pPr>
    </w:p>
    <w:p w14:paraId="3A875971" w14:textId="77777777" w:rsidR="00493657" w:rsidRPr="00DA0EE6" w:rsidRDefault="00493657" w:rsidP="00CA3AFC">
      <w:pPr>
        <w:adjustRightInd w:val="0"/>
        <w:snapToGrid w:val="0"/>
        <w:spacing w:after="0" w:line="240" w:lineRule="auto"/>
        <w:jc w:val="center"/>
        <w:rPr>
          <w:rFonts w:cstheme="minorHAnsi"/>
          <w:b/>
          <w:lang w:val="en-NZ"/>
        </w:rPr>
      </w:pPr>
    </w:p>
    <w:p w14:paraId="28658DCE" w14:textId="521D0BEA" w:rsidR="004B05DF" w:rsidRPr="00DA0EE6" w:rsidRDefault="00493657" w:rsidP="00CA3AFC">
      <w:pPr>
        <w:adjustRightInd w:val="0"/>
        <w:snapToGrid w:val="0"/>
        <w:spacing w:after="0" w:line="240" w:lineRule="auto"/>
        <w:jc w:val="center"/>
        <w:rPr>
          <w:rFonts w:cstheme="minorHAnsi"/>
          <w:b/>
          <w:sz w:val="28"/>
          <w:szCs w:val="28"/>
        </w:rPr>
      </w:pPr>
      <w:r w:rsidRPr="00DA0EE6">
        <w:rPr>
          <w:rFonts w:cstheme="minorHAnsi"/>
          <w:b/>
          <w:caps/>
          <w:sz w:val="28"/>
          <w:szCs w:val="28"/>
        </w:rPr>
        <w:t xml:space="preserve">WCPO </w:t>
      </w:r>
      <w:r w:rsidR="00091B95" w:rsidRPr="00DA0EE6">
        <w:rPr>
          <w:rFonts w:cstheme="minorHAnsi"/>
          <w:b/>
          <w:caps/>
          <w:sz w:val="28"/>
          <w:szCs w:val="28"/>
        </w:rPr>
        <w:t>Yellowfin</w:t>
      </w:r>
      <w:r w:rsidR="00570E6C" w:rsidRPr="00DA0EE6">
        <w:rPr>
          <w:rFonts w:cstheme="minorHAnsi"/>
          <w:b/>
          <w:caps/>
          <w:sz w:val="28"/>
          <w:szCs w:val="28"/>
        </w:rPr>
        <w:t xml:space="preserve"> Tuna</w:t>
      </w:r>
      <w:r w:rsidR="00570E6C" w:rsidRPr="00DA0EE6">
        <w:rPr>
          <w:rFonts w:cstheme="minorHAnsi"/>
          <w:b/>
          <w:sz w:val="28"/>
          <w:szCs w:val="28"/>
        </w:rPr>
        <w:t xml:space="preserve"> </w:t>
      </w:r>
      <w:r w:rsidR="004B05DF" w:rsidRPr="00DA0EE6">
        <w:rPr>
          <w:rFonts w:cstheme="minorHAnsi"/>
          <w:b/>
          <w:sz w:val="28"/>
          <w:szCs w:val="28"/>
        </w:rPr>
        <w:t>(</w:t>
      </w:r>
      <w:r w:rsidR="005828AD" w:rsidRPr="00DA0EE6">
        <w:rPr>
          <w:rFonts w:cstheme="minorHAnsi"/>
          <w:b/>
          <w:i/>
          <w:iCs/>
          <w:sz w:val="28"/>
          <w:szCs w:val="28"/>
        </w:rPr>
        <w:t xml:space="preserve">Thunnus </w:t>
      </w:r>
      <w:r w:rsidR="00091B95" w:rsidRPr="00DA0EE6">
        <w:rPr>
          <w:rFonts w:cstheme="minorHAnsi"/>
          <w:b/>
          <w:i/>
          <w:iCs/>
          <w:sz w:val="28"/>
          <w:szCs w:val="28"/>
        </w:rPr>
        <w:t>albacares</w:t>
      </w:r>
      <w:r w:rsidR="004B05DF" w:rsidRPr="00DA0EE6">
        <w:rPr>
          <w:rFonts w:cstheme="minorHAnsi"/>
          <w:b/>
          <w:sz w:val="28"/>
          <w:szCs w:val="28"/>
        </w:rPr>
        <w:t>)</w:t>
      </w:r>
    </w:p>
    <w:p w14:paraId="5977026B" w14:textId="77777777" w:rsidR="00493657" w:rsidRPr="00DA0EE6" w:rsidRDefault="00493657" w:rsidP="00CA3AFC">
      <w:pPr>
        <w:adjustRightInd w:val="0"/>
        <w:snapToGrid w:val="0"/>
        <w:spacing w:after="0" w:line="240" w:lineRule="auto"/>
        <w:jc w:val="center"/>
        <w:rPr>
          <w:rFonts w:cstheme="minorHAnsi"/>
          <w:b/>
        </w:rPr>
      </w:pPr>
    </w:p>
    <w:p w14:paraId="45A4AE05" w14:textId="77777777" w:rsidR="00493657" w:rsidRPr="00DA0EE6" w:rsidRDefault="00493657" w:rsidP="00CA3AFC">
      <w:pPr>
        <w:adjustRightInd w:val="0"/>
        <w:snapToGrid w:val="0"/>
        <w:spacing w:after="0" w:line="240" w:lineRule="auto"/>
        <w:jc w:val="center"/>
        <w:rPr>
          <w:rFonts w:cstheme="minorHAnsi"/>
          <w:bCs/>
          <w:caps/>
        </w:rPr>
      </w:pPr>
      <w:r w:rsidRPr="00DA0EE6">
        <w:rPr>
          <w:rFonts w:cstheme="minorHAnsi"/>
          <w:bCs/>
          <w:caps/>
        </w:rPr>
        <w:t>Stock Status and Management Advice</w:t>
      </w:r>
    </w:p>
    <w:p w14:paraId="56030702" w14:textId="70EC9946" w:rsidR="004B05DF" w:rsidRPr="00DA0EE6" w:rsidRDefault="004B05DF" w:rsidP="00CA3AFC">
      <w:pPr>
        <w:adjustRightInd w:val="0"/>
        <w:snapToGrid w:val="0"/>
        <w:spacing w:after="0" w:line="240" w:lineRule="auto"/>
        <w:rPr>
          <w:rFonts w:cstheme="minorHAnsi"/>
          <w:b/>
        </w:rPr>
      </w:pPr>
    </w:p>
    <w:p w14:paraId="3FC0F975" w14:textId="79244E86" w:rsidR="00493657" w:rsidRPr="00DA0EE6" w:rsidRDefault="00493657" w:rsidP="00CA3AFC">
      <w:pPr>
        <w:adjustRightInd w:val="0"/>
        <w:snapToGrid w:val="0"/>
        <w:spacing w:after="0" w:line="240" w:lineRule="auto"/>
        <w:rPr>
          <w:rFonts w:cstheme="minorHAnsi"/>
          <w:b/>
        </w:rPr>
      </w:pPr>
    </w:p>
    <w:p w14:paraId="00E5572E" w14:textId="794E33C8" w:rsidR="00493657" w:rsidRPr="00DA0EE6" w:rsidRDefault="00493657" w:rsidP="00CA3AFC">
      <w:pPr>
        <w:adjustRightInd w:val="0"/>
        <w:snapToGrid w:val="0"/>
        <w:spacing w:after="0" w:line="240" w:lineRule="auto"/>
        <w:rPr>
          <w:rFonts w:cstheme="minorHAnsi"/>
          <w:b/>
        </w:rPr>
      </w:pPr>
    </w:p>
    <w:p w14:paraId="48258913" w14:textId="63088839" w:rsidR="00493657" w:rsidRPr="00DA0EE6" w:rsidRDefault="00493657" w:rsidP="00CA3AFC">
      <w:pPr>
        <w:adjustRightInd w:val="0"/>
        <w:snapToGrid w:val="0"/>
        <w:spacing w:after="0" w:line="240" w:lineRule="auto"/>
        <w:rPr>
          <w:rFonts w:cstheme="minorHAnsi"/>
          <w:b/>
        </w:rPr>
      </w:pPr>
    </w:p>
    <w:p w14:paraId="1D27D753" w14:textId="1C7C3BC9" w:rsidR="00493657" w:rsidRPr="00DA0EE6" w:rsidRDefault="00493657" w:rsidP="00CA3AFC">
      <w:pPr>
        <w:adjustRightInd w:val="0"/>
        <w:snapToGrid w:val="0"/>
        <w:spacing w:after="0" w:line="240" w:lineRule="auto"/>
        <w:rPr>
          <w:rFonts w:cstheme="minorHAnsi"/>
          <w:b/>
        </w:rPr>
      </w:pPr>
    </w:p>
    <w:p w14:paraId="650E3D13" w14:textId="6E49DE70" w:rsidR="00493657" w:rsidRPr="00DA0EE6" w:rsidRDefault="00493657" w:rsidP="00CA3AFC">
      <w:pPr>
        <w:adjustRightInd w:val="0"/>
        <w:snapToGrid w:val="0"/>
        <w:spacing w:after="0" w:line="240" w:lineRule="auto"/>
        <w:rPr>
          <w:rFonts w:cstheme="minorHAnsi"/>
          <w:b/>
        </w:rPr>
      </w:pPr>
    </w:p>
    <w:p w14:paraId="22E7550B" w14:textId="1FB63F45" w:rsidR="00493657" w:rsidRPr="00DA0EE6" w:rsidRDefault="00493657" w:rsidP="00CA3AFC">
      <w:pPr>
        <w:adjustRightInd w:val="0"/>
        <w:snapToGrid w:val="0"/>
        <w:spacing w:after="0" w:line="240" w:lineRule="auto"/>
        <w:rPr>
          <w:rFonts w:cstheme="minorHAnsi"/>
          <w:b/>
        </w:rPr>
      </w:pPr>
    </w:p>
    <w:p w14:paraId="2DA5FD5A" w14:textId="77777777" w:rsidR="00493657" w:rsidRPr="00DA0EE6" w:rsidRDefault="00493657" w:rsidP="00CA3AFC">
      <w:pPr>
        <w:adjustRightInd w:val="0"/>
        <w:snapToGrid w:val="0"/>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4D30C100" w14:textId="77777777" w:rsidR="004B05DF" w:rsidRPr="00DA0EE6" w:rsidRDefault="004B05DF" w:rsidP="00493657">
          <w:pPr>
            <w:pStyle w:val="TOCHeading"/>
            <w:spacing w:before="0" w:after="240" w:line="240" w:lineRule="auto"/>
            <w:rPr>
              <w:rFonts w:asciiTheme="minorHAnsi" w:hAnsiTheme="minorHAnsi" w:cstheme="minorHAnsi"/>
              <w:b/>
              <w:bCs/>
              <w:sz w:val="28"/>
              <w:szCs w:val="28"/>
            </w:rPr>
          </w:pPr>
          <w:r w:rsidRPr="00DA0EE6">
            <w:rPr>
              <w:rFonts w:asciiTheme="minorHAnsi" w:hAnsiTheme="minorHAnsi" w:cstheme="minorHAnsi"/>
              <w:b/>
              <w:bCs/>
              <w:sz w:val="28"/>
              <w:szCs w:val="28"/>
            </w:rPr>
            <w:t>Contents</w:t>
          </w:r>
        </w:p>
        <w:p w14:paraId="52B6FD4E" w14:textId="006A4C55" w:rsidR="00DA0EE6" w:rsidRDefault="004B05DF">
          <w:pPr>
            <w:pStyle w:val="TOC1"/>
            <w:tabs>
              <w:tab w:val="right" w:leader="dot" w:pos="9350"/>
            </w:tabs>
            <w:rPr>
              <w:rFonts w:eastAsiaTheme="minorEastAsia"/>
              <w:noProof/>
              <w:kern w:val="2"/>
              <w14:ligatures w14:val="standardContextual"/>
            </w:rPr>
          </w:pPr>
          <w:r w:rsidRPr="00DA0EE6">
            <w:rPr>
              <w:rFonts w:cstheme="minorHAnsi"/>
            </w:rPr>
            <w:fldChar w:fldCharType="begin"/>
          </w:r>
          <w:r w:rsidRPr="00DA0EE6">
            <w:rPr>
              <w:rFonts w:cstheme="minorHAnsi"/>
            </w:rPr>
            <w:instrText xml:space="preserve"> TOC \o "1-3" \h \z \u </w:instrText>
          </w:r>
          <w:r w:rsidRPr="00DA0EE6">
            <w:rPr>
              <w:rFonts w:cstheme="minorHAnsi"/>
            </w:rPr>
            <w:fldChar w:fldCharType="separate"/>
          </w:r>
          <w:hyperlink w:anchor="_Toc159853627" w:history="1">
            <w:r w:rsidR="00DA0EE6" w:rsidRPr="00674516">
              <w:rPr>
                <w:rStyle w:val="Hyperlink"/>
                <w:rFonts w:cstheme="minorHAnsi"/>
                <w:noProof/>
              </w:rPr>
              <w:t>SC19 2023 (STOCK ASSESSMENT CONDUCTED)</w:t>
            </w:r>
            <w:r w:rsidR="00DA0EE6">
              <w:rPr>
                <w:noProof/>
                <w:webHidden/>
              </w:rPr>
              <w:tab/>
            </w:r>
            <w:r w:rsidR="00DA0EE6">
              <w:rPr>
                <w:noProof/>
                <w:webHidden/>
              </w:rPr>
              <w:fldChar w:fldCharType="begin"/>
            </w:r>
            <w:r w:rsidR="00DA0EE6">
              <w:rPr>
                <w:noProof/>
                <w:webHidden/>
              </w:rPr>
              <w:instrText xml:space="preserve"> PAGEREF _Toc159853627 \h </w:instrText>
            </w:r>
            <w:r w:rsidR="00DA0EE6">
              <w:rPr>
                <w:noProof/>
                <w:webHidden/>
              </w:rPr>
            </w:r>
            <w:r w:rsidR="00DA0EE6">
              <w:rPr>
                <w:noProof/>
                <w:webHidden/>
              </w:rPr>
              <w:fldChar w:fldCharType="separate"/>
            </w:r>
            <w:r w:rsidR="00DA0EE6">
              <w:rPr>
                <w:noProof/>
                <w:webHidden/>
              </w:rPr>
              <w:t>2</w:t>
            </w:r>
            <w:r w:rsidR="00DA0EE6">
              <w:rPr>
                <w:noProof/>
                <w:webHidden/>
              </w:rPr>
              <w:fldChar w:fldCharType="end"/>
            </w:r>
          </w:hyperlink>
        </w:p>
        <w:p w14:paraId="51208455" w14:textId="2D2C9597" w:rsidR="00DA0EE6" w:rsidRDefault="00000000">
          <w:pPr>
            <w:pStyle w:val="TOC1"/>
            <w:tabs>
              <w:tab w:val="right" w:leader="dot" w:pos="9350"/>
            </w:tabs>
            <w:rPr>
              <w:rFonts w:eastAsiaTheme="minorEastAsia"/>
              <w:noProof/>
              <w:kern w:val="2"/>
              <w14:ligatures w14:val="standardContextual"/>
            </w:rPr>
          </w:pPr>
          <w:hyperlink w:anchor="_Toc159853628" w:history="1">
            <w:r w:rsidR="00DA0EE6" w:rsidRPr="00674516">
              <w:rPr>
                <w:rStyle w:val="Hyperlink"/>
                <w:rFonts w:cstheme="minorHAnsi"/>
                <w:noProof/>
              </w:rPr>
              <w:t>SC16 2020 (STOCK ASSESSMENT CONDUCTED)</w:t>
            </w:r>
            <w:r w:rsidR="00DA0EE6">
              <w:rPr>
                <w:noProof/>
                <w:webHidden/>
              </w:rPr>
              <w:tab/>
            </w:r>
            <w:r w:rsidR="00DA0EE6">
              <w:rPr>
                <w:noProof/>
                <w:webHidden/>
              </w:rPr>
              <w:fldChar w:fldCharType="begin"/>
            </w:r>
            <w:r w:rsidR="00DA0EE6">
              <w:rPr>
                <w:noProof/>
                <w:webHidden/>
              </w:rPr>
              <w:instrText xml:space="preserve"> PAGEREF _Toc159853628 \h </w:instrText>
            </w:r>
            <w:r w:rsidR="00DA0EE6">
              <w:rPr>
                <w:noProof/>
                <w:webHidden/>
              </w:rPr>
            </w:r>
            <w:r w:rsidR="00DA0EE6">
              <w:rPr>
                <w:noProof/>
                <w:webHidden/>
              </w:rPr>
              <w:fldChar w:fldCharType="separate"/>
            </w:r>
            <w:r w:rsidR="00DA0EE6">
              <w:rPr>
                <w:noProof/>
                <w:webHidden/>
              </w:rPr>
              <w:t>13</w:t>
            </w:r>
            <w:r w:rsidR="00DA0EE6">
              <w:rPr>
                <w:noProof/>
                <w:webHidden/>
              </w:rPr>
              <w:fldChar w:fldCharType="end"/>
            </w:r>
          </w:hyperlink>
        </w:p>
        <w:p w14:paraId="67819967" w14:textId="07BA4717" w:rsidR="00DA0EE6" w:rsidRDefault="00000000">
          <w:pPr>
            <w:pStyle w:val="TOC1"/>
            <w:tabs>
              <w:tab w:val="right" w:leader="dot" w:pos="9350"/>
            </w:tabs>
            <w:rPr>
              <w:rFonts w:eastAsiaTheme="minorEastAsia"/>
              <w:noProof/>
              <w:kern w:val="2"/>
              <w14:ligatures w14:val="standardContextual"/>
            </w:rPr>
          </w:pPr>
          <w:hyperlink w:anchor="_Toc159853629" w:history="1">
            <w:r w:rsidR="00DA0EE6" w:rsidRPr="00674516">
              <w:rPr>
                <w:rStyle w:val="Hyperlink"/>
                <w:rFonts w:cstheme="minorHAnsi"/>
                <w:noProof/>
              </w:rPr>
              <w:t>SC15 2019 (FISHERY INDICATORS UPDATED)</w:t>
            </w:r>
            <w:r w:rsidR="00DA0EE6">
              <w:rPr>
                <w:noProof/>
                <w:webHidden/>
              </w:rPr>
              <w:tab/>
            </w:r>
            <w:r w:rsidR="00DA0EE6">
              <w:rPr>
                <w:noProof/>
                <w:webHidden/>
              </w:rPr>
              <w:fldChar w:fldCharType="begin"/>
            </w:r>
            <w:r w:rsidR="00DA0EE6">
              <w:rPr>
                <w:noProof/>
                <w:webHidden/>
              </w:rPr>
              <w:instrText xml:space="preserve"> PAGEREF _Toc159853629 \h </w:instrText>
            </w:r>
            <w:r w:rsidR="00DA0EE6">
              <w:rPr>
                <w:noProof/>
                <w:webHidden/>
              </w:rPr>
            </w:r>
            <w:r w:rsidR="00DA0EE6">
              <w:rPr>
                <w:noProof/>
                <w:webHidden/>
              </w:rPr>
              <w:fldChar w:fldCharType="separate"/>
            </w:r>
            <w:r w:rsidR="00DA0EE6">
              <w:rPr>
                <w:noProof/>
                <w:webHidden/>
              </w:rPr>
              <w:t>23</w:t>
            </w:r>
            <w:r w:rsidR="00DA0EE6">
              <w:rPr>
                <w:noProof/>
                <w:webHidden/>
              </w:rPr>
              <w:fldChar w:fldCharType="end"/>
            </w:r>
          </w:hyperlink>
        </w:p>
        <w:p w14:paraId="71E6ED2A" w14:textId="17B51F54" w:rsidR="00DA0EE6" w:rsidRDefault="00000000">
          <w:pPr>
            <w:pStyle w:val="TOC1"/>
            <w:tabs>
              <w:tab w:val="right" w:leader="dot" w:pos="9350"/>
            </w:tabs>
            <w:rPr>
              <w:rFonts w:eastAsiaTheme="minorEastAsia"/>
              <w:noProof/>
              <w:kern w:val="2"/>
              <w14:ligatures w14:val="standardContextual"/>
            </w:rPr>
          </w:pPr>
          <w:hyperlink w:anchor="_Toc159853630" w:history="1">
            <w:r w:rsidR="00DA0EE6" w:rsidRPr="00674516">
              <w:rPr>
                <w:rStyle w:val="Hyperlink"/>
                <w:rFonts w:cstheme="minorHAnsi"/>
                <w:noProof/>
              </w:rPr>
              <w:t>SC14 2018 (FISHERY INDICATORS UPDATED)</w:t>
            </w:r>
            <w:r w:rsidR="00DA0EE6">
              <w:rPr>
                <w:noProof/>
                <w:webHidden/>
              </w:rPr>
              <w:tab/>
            </w:r>
            <w:r w:rsidR="00DA0EE6">
              <w:rPr>
                <w:noProof/>
                <w:webHidden/>
              </w:rPr>
              <w:fldChar w:fldCharType="begin"/>
            </w:r>
            <w:r w:rsidR="00DA0EE6">
              <w:rPr>
                <w:noProof/>
                <w:webHidden/>
              </w:rPr>
              <w:instrText xml:space="preserve"> PAGEREF _Toc159853630 \h </w:instrText>
            </w:r>
            <w:r w:rsidR="00DA0EE6">
              <w:rPr>
                <w:noProof/>
                <w:webHidden/>
              </w:rPr>
            </w:r>
            <w:r w:rsidR="00DA0EE6">
              <w:rPr>
                <w:noProof/>
                <w:webHidden/>
              </w:rPr>
              <w:fldChar w:fldCharType="separate"/>
            </w:r>
            <w:r w:rsidR="00DA0EE6">
              <w:rPr>
                <w:noProof/>
                <w:webHidden/>
              </w:rPr>
              <w:t>23</w:t>
            </w:r>
            <w:r w:rsidR="00DA0EE6">
              <w:rPr>
                <w:noProof/>
                <w:webHidden/>
              </w:rPr>
              <w:fldChar w:fldCharType="end"/>
            </w:r>
          </w:hyperlink>
        </w:p>
        <w:p w14:paraId="432561EA" w14:textId="4CD05C5C" w:rsidR="00DA0EE6" w:rsidRDefault="00000000">
          <w:pPr>
            <w:pStyle w:val="TOC1"/>
            <w:tabs>
              <w:tab w:val="right" w:leader="dot" w:pos="9350"/>
            </w:tabs>
            <w:rPr>
              <w:rFonts w:eastAsiaTheme="minorEastAsia"/>
              <w:noProof/>
              <w:kern w:val="2"/>
              <w14:ligatures w14:val="standardContextual"/>
            </w:rPr>
          </w:pPr>
          <w:hyperlink w:anchor="_Toc159853631" w:history="1">
            <w:r w:rsidR="00DA0EE6" w:rsidRPr="00674516">
              <w:rPr>
                <w:rStyle w:val="Hyperlink"/>
                <w:rFonts w:cstheme="minorHAnsi"/>
                <w:noProof/>
              </w:rPr>
              <w:t>SC13 2017 (STOCK ASSESSMENT CONDUCTED)</w:t>
            </w:r>
            <w:r w:rsidR="00DA0EE6">
              <w:rPr>
                <w:noProof/>
                <w:webHidden/>
              </w:rPr>
              <w:tab/>
            </w:r>
            <w:r w:rsidR="00DA0EE6">
              <w:rPr>
                <w:noProof/>
                <w:webHidden/>
              </w:rPr>
              <w:fldChar w:fldCharType="begin"/>
            </w:r>
            <w:r w:rsidR="00DA0EE6">
              <w:rPr>
                <w:noProof/>
                <w:webHidden/>
              </w:rPr>
              <w:instrText xml:space="preserve"> PAGEREF _Toc159853631 \h </w:instrText>
            </w:r>
            <w:r w:rsidR="00DA0EE6">
              <w:rPr>
                <w:noProof/>
                <w:webHidden/>
              </w:rPr>
            </w:r>
            <w:r w:rsidR="00DA0EE6">
              <w:rPr>
                <w:noProof/>
                <w:webHidden/>
              </w:rPr>
              <w:fldChar w:fldCharType="separate"/>
            </w:r>
            <w:r w:rsidR="00DA0EE6">
              <w:rPr>
                <w:noProof/>
                <w:webHidden/>
              </w:rPr>
              <w:t>24</w:t>
            </w:r>
            <w:r w:rsidR="00DA0EE6">
              <w:rPr>
                <w:noProof/>
                <w:webHidden/>
              </w:rPr>
              <w:fldChar w:fldCharType="end"/>
            </w:r>
          </w:hyperlink>
        </w:p>
        <w:p w14:paraId="0C2A1904" w14:textId="531B40D0" w:rsidR="00DA0EE6" w:rsidRDefault="00000000">
          <w:pPr>
            <w:pStyle w:val="TOC1"/>
            <w:tabs>
              <w:tab w:val="right" w:leader="dot" w:pos="9350"/>
            </w:tabs>
            <w:rPr>
              <w:rFonts w:eastAsiaTheme="minorEastAsia"/>
              <w:noProof/>
              <w:kern w:val="2"/>
              <w14:ligatures w14:val="standardContextual"/>
            </w:rPr>
          </w:pPr>
          <w:hyperlink w:anchor="_Toc159853632" w:history="1">
            <w:r w:rsidR="00DA0EE6" w:rsidRPr="00674516">
              <w:rPr>
                <w:rStyle w:val="Hyperlink"/>
                <w:rFonts w:eastAsia="MS Mincho" w:cstheme="minorHAnsi"/>
                <w:b/>
                <w:bCs/>
                <w:caps/>
                <w:noProof/>
                <w:lang w:val="en-NZ" w:eastAsia="en-NZ"/>
              </w:rPr>
              <w:t>References</w:t>
            </w:r>
            <w:r w:rsidR="00DA0EE6">
              <w:rPr>
                <w:noProof/>
                <w:webHidden/>
              </w:rPr>
              <w:tab/>
            </w:r>
            <w:r w:rsidR="00DA0EE6">
              <w:rPr>
                <w:noProof/>
                <w:webHidden/>
              </w:rPr>
              <w:fldChar w:fldCharType="begin"/>
            </w:r>
            <w:r w:rsidR="00DA0EE6">
              <w:rPr>
                <w:noProof/>
                <w:webHidden/>
              </w:rPr>
              <w:instrText xml:space="preserve"> PAGEREF _Toc159853632 \h </w:instrText>
            </w:r>
            <w:r w:rsidR="00DA0EE6">
              <w:rPr>
                <w:noProof/>
                <w:webHidden/>
              </w:rPr>
            </w:r>
            <w:r w:rsidR="00DA0EE6">
              <w:rPr>
                <w:noProof/>
                <w:webHidden/>
              </w:rPr>
              <w:fldChar w:fldCharType="separate"/>
            </w:r>
            <w:r w:rsidR="00DA0EE6">
              <w:rPr>
                <w:noProof/>
                <w:webHidden/>
              </w:rPr>
              <w:t>34</w:t>
            </w:r>
            <w:r w:rsidR="00DA0EE6">
              <w:rPr>
                <w:noProof/>
                <w:webHidden/>
              </w:rPr>
              <w:fldChar w:fldCharType="end"/>
            </w:r>
          </w:hyperlink>
        </w:p>
        <w:p w14:paraId="59B46AB6" w14:textId="460E5B1C" w:rsidR="004B05DF" w:rsidRPr="00DA0EE6" w:rsidRDefault="004B05DF" w:rsidP="00493657">
          <w:pPr>
            <w:spacing w:after="240" w:line="240" w:lineRule="auto"/>
            <w:rPr>
              <w:rFonts w:cstheme="minorHAnsi"/>
            </w:rPr>
          </w:pPr>
          <w:r w:rsidRPr="00DA0EE6">
            <w:rPr>
              <w:rFonts w:cstheme="minorHAnsi"/>
              <w:b/>
              <w:bCs/>
              <w:noProof/>
            </w:rPr>
            <w:fldChar w:fldCharType="end"/>
          </w:r>
        </w:p>
      </w:sdtContent>
    </w:sdt>
    <w:p w14:paraId="06CE4F99" w14:textId="77777777" w:rsidR="00493657" w:rsidRPr="00DA0EE6" w:rsidRDefault="00493657">
      <w:pPr>
        <w:rPr>
          <w:rFonts w:eastAsiaTheme="majorEastAsia" w:cstheme="minorHAnsi"/>
          <w:color w:val="2F5496" w:themeColor="accent1" w:themeShade="BF"/>
          <w:sz w:val="32"/>
          <w:szCs w:val="32"/>
        </w:rPr>
      </w:pPr>
      <w:r w:rsidRPr="00DA0EE6">
        <w:rPr>
          <w:rFonts w:cstheme="minorHAnsi"/>
        </w:rPr>
        <w:br w:type="page"/>
      </w:r>
    </w:p>
    <w:p w14:paraId="3A445CD3" w14:textId="7CD5D4F9" w:rsidR="00DA0EE6" w:rsidRPr="00DA0EE6" w:rsidRDefault="00DA0EE6" w:rsidP="00167819">
      <w:pPr>
        <w:pStyle w:val="Heading1"/>
        <w:adjustRightInd w:val="0"/>
        <w:snapToGrid w:val="0"/>
        <w:spacing w:before="0" w:line="240" w:lineRule="auto"/>
        <w:rPr>
          <w:rFonts w:asciiTheme="minorHAnsi" w:hAnsiTheme="minorHAnsi" w:cstheme="minorHAnsi"/>
        </w:rPr>
      </w:pPr>
      <w:bookmarkStart w:id="0" w:name="_Toc159853627"/>
      <w:r w:rsidRPr="00DA0EE6">
        <w:rPr>
          <w:rFonts w:asciiTheme="minorHAnsi" w:hAnsiTheme="minorHAnsi" w:cstheme="minorHAnsi"/>
        </w:rPr>
        <w:lastRenderedPageBreak/>
        <w:t>SC19 2023 (STOCK ASSESSMENT CONDUCTED)</w:t>
      </w:r>
      <w:bookmarkEnd w:id="0"/>
    </w:p>
    <w:p w14:paraId="0266E121" w14:textId="77777777" w:rsidR="00DA0EE6" w:rsidRPr="00DA0EE6" w:rsidRDefault="00DA0EE6" w:rsidP="00DA0EE6">
      <w:pPr>
        <w:rPr>
          <w:rFonts w:eastAsia="Batang" w:cstheme="minorHAnsi"/>
          <w:b/>
          <w:bCs/>
          <w:lang w:eastAsia="ko-KR"/>
        </w:rPr>
      </w:pPr>
    </w:p>
    <w:p w14:paraId="02B214A7" w14:textId="77777777" w:rsidR="00DA0EE6" w:rsidRPr="00DA0EE6" w:rsidRDefault="00DA0EE6" w:rsidP="00DA0EE6">
      <w:pPr>
        <w:pStyle w:val="ListParagraph"/>
        <w:numPr>
          <w:ilvl w:val="0"/>
          <w:numId w:val="18"/>
        </w:numPr>
        <w:rPr>
          <w:rFonts w:asciiTheme="minorHAnsi" w:eastAsia="Batang" w:hAnsiTheme="minorHAnsi" w:cstheme="minorHAnsi"/>
          <w:b/>
          <w:bCs/>
          <w:lang w:eastAsia="ko-KR"/>
        </w:rPr>
      </w:pPr>
      <w:r w:rsidRPr="00DA0EE6">
        <w:rPr>
          <w:rFonts w:asciiTheme="minorHAnsi" w:eastAsia="Batang" w:hAnsiTheme="minorHAnsi" w:cstheme="minorHAnsi"/>
          <w:b/>
          <w:bCs/>
          <w:lang w:eastAsia="ko-KR"/>
        </w:rPr>
        <w:t>Stock Status and trends</w:t>
      </w:r>
    </w:p>
    <w:p w14:paraId="1E10A828" w14:textId="77777777" w:rsidR="00DA0EE6" w:rsidRPr="00DA0EE6" w:rsidRDefault="00DA0EE6" w:rsidP="00DA0EE6">
      <w:pPr>
        <w:pStyle w:val="ListParagraph"/>
        <w:ind w:left="360"/>
        <w:rPr>
          <w:rFonts w:asciiTheme="minorHAnsi" w:hAnsiTheme="minorHAnsi" w:cstheme="minorHAnsi"/>
        </w:rPr>
      </w:pPr>
    </w:p>
    <w:p w14:paraId="000FBD29"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2023 WCPO yellowfin tuna</w:t>
      </w:r>
      <w:r w:rsidRPr="00DA0EE6" w:rsidDel="00C74826">
        <w:rPr>
          <w:rFonts w:asciiTheme="minorHAnsi" w:hAnsiTheme="minorHAnsi" w:cstheme="minorHAnsi"/>
        </w:rPr>
        <w:t xml:space="preserve"> </w:t>
      </w:r>
      <w:r w:rsidRPr="00DA0EE6">
        <w:rPr>
          <w:rFonts w:asciiTheme="minorHAnsi" w:hAnsiTheme="minorHAnsi" w:cstheme="minorHAnsi"/>
        </w:rPr>
        <w:t xml:space="preserve">assessment provides stock status based upon a 54-model structural uncertainty grid with four axes: steepness with three levels, tag mixing period with two levels, and size and age composition data with three levels each, as illustrated in table YFT-01. </w:t>
      </w:r>
      <w:r w:rsidRPr="00DA0EE6">
        <w:rPr>
          <w:rFonts w:asciiTheme="minorHAnsi" w:hAnsiTheme="minorHAnsi" w:cstheme="minorHAnsi"/>
          <w:b/>
        </w:rPr>
        <w:t xml:space="preserve">SC19 recommended that the proposed axes of uncertainty be accepted and that all models should be weighted equally.  SC19 noted that an important improvement in the characterization of uncertainty was the inclusion of estimation uncertainty for each of the models in the grid.  </w:t>
      </w:r>
    </w:p>
    <w:p w14:paraId="76D86AF7" w14:textId="77777777" w:rsidR="00DA0EE6" w:rsidRPr="00DA0EE6" w:rsidRDefault="00DA0EE6" w:rsidP="00DA0EE6">
      <w:pPr>
        <w:pStyle w:val="WCPFCpara"/>
        <w:spacing w:after="0"/>
        <w:ind w:left="360" w:firstLine="0"/>
        <w:rPr>
          <w:rFonts w:asciiTheme="minorHAnsi" w:hAnsiTheme="minorHAnsi" w:cstheme="minorHAnsi"/>
        </w:rPr>
      </w:pPr>
    </w:p>
    <w:p w14:paraId="678C71DA"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 xml:space="preserve">SC19 noted that the most influential axis of uncertainty in the grid was steepness. </w:t>
      </w:r>
    </w:p>
    <w:p w14:paraId="11F8A3DF" w14:textId="77777777" w:rsidR="00DA0EE6" w:rsidRPr="00DA0EE6" w:rsidRDefault="00DA0EE6" w:rsidP="00DA0EE6">
      <w:pPr>
        <w:pStyle w:val="WCPFCpara"/>
        <w:spacing w:after="0"/>
        <w:ind w:left="360" w:firstLine="0"/>
        <w:rPr>
          <w:rFonts w:asciiTheme="minorHAnsi" w:hAnsiTheme="minorHAnsi" w:cstheme="minorHAnsi"/>
        </w:rPr>
      </w:pPr>
    </w:p>
    <w:p w14:paraId="0AB3562A"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w:t>
      </w:r>
      <w:r w:rsidRPr="00DA0EE6">
        <w:rPr>
          <w:rFonts w:asciiTheme="minorHAnsi" w:hAnsiTheme="minorHAnsi" w:cstheme="minorHAnsi"/>
          <w:bCs/>
        </w:rPr>
        <w:t xml:space="preserve">he </w:t>
      </w:r>
      <w:r w:rsidRPr="00DA0EE6">
        <w:rPr>
          <w:rFonts w:asciiTheme="minorHAnsi" w:hAnsiTheme="minorHAnsi" w:cstheme="minorHAnsi"/>
        </w:rPr>
        <w:t xml:space="preserve">spatial structure used in the 2023 stock assessment is shown in Figure YFT-01. SC19 noted that the simplification of the model from 9 regions to 5 regions improved the convergence of the model.  </w:t>
      </w:r>
    </w:p>
    <w:p w14:paraId="1CFD4CEC" w14:textId="77777777" w:rsidR="00DA0EE6" w:rsidRPr="00DA0EE6" w:rsidRDefault="00DA0EE6" w:rsidP="00DA0EE6">
      <w:pPr>
        <w:pStyle w:val="WCPFCpara"/>
        <w:spacing w:after="0"/>
        <w:ind w:left="360" w:firstLine="0"/>
        <w:rPr>
          <w:rFonts w:asciiTheme="minorHAnsi" w:hAnsiTheme="minorHAnsi" w:cstheme="minorHAnsi"/>
        </w:rPr>
      </w:pPr>
    </w:p>
    <w:p w14:paraId="3C7CAE09"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time</w:t>
      </w:r>
      <w:r w:rsidRPr="00DA0EE6">
        <w:rPr>
          <w:rFonts w:asciiTheme="minorHAnsi" w:hAnsiTheme="minorHAnsi" w:cstheme="minorHAnsi"/>
          <w:bCs/>
        </w:rPr>
        <w:t xml:space="preserve"> series of total annual catch by fishing gear over the full assessment period is shown in Figure YFT-02. The t</w:t>
      </w:r>
      <w:r w:rsidRPr="00DA0EE6">
        <w:rPr>
          <w:rFonts w:asciiTheme="minorHAnsi" w:hAnsiTheme="minorHAnsi" w:cstheme="minorHAnsi"/>
        </w:rPr>
        <w:t>ime series of total annual catch by fishing gear and assessment region is shown in Figure YFT-03. Estimated annual average recruitment, spawning potential, and total biomass by model region is shown in Figure YFT-04. Estimated</w:t>
      </w:r>
      <w:r w:rsidRPr="00DA0EE6">
        <w:rPr>
          <w:rFonts w:asciiTheme="minorHAnsi" w:hAnsiTheme="minorHAnsi" w:cstheme="minorHAnsi"/>
          <w:bCs/>
        </w:rPr>
        <w:t xml:space="preserve"> trends in spawning potential depletion (SB/SB</w:t>
      </w:r>
      <w:r w:rsidRPr="00DA0EE6">
        <w:rPr>
          <w:rFonts w:asciiTheme="minorHAnsi" w:hAnsiTheme="minorHAnsi" w:cstheme="minorHAnsi"/>
          <w:bCs/>
          <w:vertAlign w:val="subscript"/>
        </w:rPr>
        <w:t>F=0</w:t>
      </w:r>
      <w:r w:rsidRPr="00DA0EE6">
        <w:rPr>
          <w:rFonts w:asciiTheme="minorHAnsi" w:hAnsiTheme="minorHAnsi" w:cstheme="minorHAnsi"/>
          <w:bCs/>
        </w:rPr>
        <w:t xml:space="preserve">) for the 54 models in the structural uncertainty grid is shown in Figure YFT-05, and juvenile and adult fishing mortality rates from the diagnostic model is shown in Figure YFT-06. Estimates of the reduction in </w:t>
      </w:r>
      <w:r w:rsidRPr="00DA0EE6">
        <w:rPr>
          <w:rFonts w:asciiTheme="minorHAnsi" w:hAnsiTheme="minorHAnsi" w:cstheme="minorHAnsi"/>
        </w:rPr>
        <w:t xml:space="preserve">spawning potential due to fishing by region </w:t>
      </w:r>
      <w:r w:rsidRPr="00DA0EE6">
        <w:rPr>
          <w:rFonts w:asciiTheme="minorHAnsi" w:hAnsiTheme="minorHAnsi" w:cstheme="minorHAnsi"/>
          <w:lang w:eastAsia="ko-KR"/>
        </w:rPr>
        <w:t>are</w:t>
      </w:r>
      <w:r w:rsidRPr="00DA0EE6">
        <w:rPr>
          <w:rFonts w:asciiTheme="minorHAnsi" w:hAnsiTheme="minorHAnsi" w:cstheme="minorHAnsi"/>
        </w:rPr>
        <w:t xml:space="preserve"> shown in Figure YFT-07. Estimated trends in spawning potential for the 54 models are shown in Figure YFT-08. </w:t>
      </w:r>
      <w:r w:rsidRPr="00DA0EE6">
        <w:rPr>
          <w:rFonts w:asciiTheme="minorHAnsi" w:hAnsiTheme="minorHAnsi" w:cstheme="minorHAnsi"/>
          <w:bCs/>
        </w:rPr>
        <w:t xml:space="preserve">A </w:t>
      </w:r>
      <w:r w:rsidRPr="00DA0EE6">
        <w:rPr>
          <w:rFonts w:asciiTheme="minorHAnsi" w:hAnsiTheme="minorHAnsi" w:cstheme="minorHAnsi"/>
        </w:rPr>
        <w:t>Majuro</w:t>
      </w:r>
      <w:r w:rsidRPr="00DA0EE6">
        <w:rPr>
          <w:rFonts w:asciiTheme="minorHAnsi" w:hAnsiTheme="minorHAnsi" w:cstheme="minorHAnsi"/>
          <w:bCs/>
        </w:rPr>
        <w:t xml:space="preserve"> and Kobe plot summarizing the results for each of the 54 models in the structural uncertainty grid are shown in Figure YFT-09. </w:t>
      </w:r>
      <w:r w:rsidRPr="00DA0EE6">
        <w:rPr>
          <w:rFonts w:asciiTheme="minorHAnsi" w:hAnsiTheme="minorHAnsi" w:cstheme="minorHAnsi"/>
        </w:rPr>
        <w:t xml:space="preserve">A comparison of the dynamic MSY for the diagnostic model compared with annual catch by the main gear types are shown in Figure YFT-10. </w:t>
      </w:r>
    </w:p>
    <w:p w14:paraId="162D60DF" w14:textId="77777777" w:rsidR="00DA0EE6" w:rsidRPr="00DA0EE6" w:rsidRDefault="00DA0EE6" w:rsidP="00DA0EE6">
      <w:pPr>
        <w:pStyle w:val="WCPFCpara"/>
        <w:spacing w:after="0"/>
        <w:ind w:left="360" w:firstLine="0"/>
        <w:rPr>
          <w:rFonts w:asciiTheme="minorHAnsi" w:hAnsiTheme="minorHAnsi" w:cstheme="minorHAnsi"/>
        </w:rPr>
      </w:pPr>
    </w:p>
    <w:p w14:paraId="65E9F711"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SC19 noted that the preliminary estimate of total catch of WCPO yellowfin tuna</w:t>
      </w:r>
      <w:r w:rsidRPr="00DA0EE6" w:rsidDel="00C74826">
        <w:rPr>
          <w:rFonts w:asciiTheme="minorHAnsi" w:hAnsiTheme="minorHAnsi" w:cstheme="minorHAnsi"/>
        </w:rPr>
        <w:t xml:space="preserve"> </w:t>
      </w:r>
      <w:r w:rsidRPr="00DA0EE6">
        <w:rPr>
          <w:rFonts w:asciiTheme="minorHAnsi" w:hAnsiTheme="minorHAnsi" w:cstheme="minorHAnsi"/>
        </w:rPr>
        <w:t xml:space="preserve">for 2022 was 721,169 </w:t>
      </w:r>
      <w:proofErr w:type="spellStart"/>
      <w:r w:rsidRPr="00DA0EE6">
        <w:rPr>
          <w:rFonts w:asciiTheme="minorHAnsi" w:hAnsiTheme="minorHAnsi" w:cstheme="minorHAnsi"/>
        </w:rPr>
        <w:t>mt</w:t>
      </w:r>
      <w:proofErr w:type="spellEnd"/>
      <w:r w:rsidRPr="00DA0EE6">
        <w:rPr>
          <w:rFonts w:asciiTheme="minorHAnsi" w:hAnsiTheme="minorHAnsi" w:cstheme="minorHAnsi"/>
        </w:rPr>
        <w:t xml:space="preserve"> which was lower than the 2021 level. Longline catch in 2022 (84,232 </w:t>
      </w:r>
      <w:proofErr w:type="spellStart"/>
      <w:r w:rsidRPr="00DA0EE6">
        <w:rPr>
          <w:rFonts w:asciiTheme="minorHAnsi" w:hAnsiTheme="minorHAnsi" w:cstheme="minorHAnsi"/>
        </w:rPr>
        <w:t>mt</w:t>
      </w:r>
      <w:proofErr w:type="spellEnd"/>
      <w:r w:rsidRPr="00DA0EE6">
        <w:rPr>
          <w:rFonts w:asciiTheme="minorHAnsi" w:hAnsiTheme="minorHAnsi" w:cstheme="minorHAnsi"/>
        </w:rPr>
        <w:t xml:space="preserve">) was higher than the 2021 catch, but lower than the recent 10-year average. Purse-seine catch in 2022 (379,715 </w:t>
      </w:r>
      <w:proofErr w:type="spellStart"/>
      <w:r w:rsidRPr="00DA0EE6">
        <w:rPr>
          <w:rFonts w:asciiTheme="minorHAnsi" w:hAnsiTheme="minorHAnsi" w:cstheme="minorHAnsi"/>
        </w:rPr>
        <w:t>mt</w:t>
      </w:r>
      <w:proofErr w:type="spellEnd"/>
      <w:r w:rsidRPr="00DA0EE6">
        <w:rPr>
          <w:rFonts w:asciiTheme="minorHAnsi" w:hAnsiTheme="minorHAnsi" w:cstheme="minorHAnsi"/>
        </w:rPr>
        <w:t xml:space="preserve">) was similar to the 2021 catch, and higher than the recent 10-year average (Figure YFT-02). </w:t>
      </w:r>
    </w:p>
    <w:p w14:paraId="5BB83FE2" w14:textId="77777777" w:rsidR="00DA0EE6" w:rsidRPr="00DA0EE6" w:rsidRDefault="00DA0EE6" w:rsidP="00DA0EE6">
      <w:pPr>
        <w:pStyle w:val="WCPFCpara"/>
        <w:spacing w:after="0"/>
        <w:ind w:left="0" w:firstLine="0"/>
        <w:rPr>
          <w:rFonts w:asciiTheme="minorHAnsi" w:hAnsiTheme="minorHAnsi" w:cstheme="minorHAnsi"/>
        </w:rPr>
      </w:pPr>
    </w:p>
    <w:p w14:paraId="4677B2D8"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2023 WCPO yellowfin tuna</w:t>
      </w:r>
      <w:r w:rsidRPr="00DA0EE6" w:rsidDel="00C74826">
        <w:rPr>
          <w:rFonts w:asciiTheme="minorHAnsi" w:hAnsiTheme="minorHAnsi" w:cstheme="minorHAnsi"/>
        </w:rPr>
        <w:t xml:space="preserve"> </w:t>
      </w:r>
      <w:r w:rsidRPr="00DA0EE6">
        <w:rPr>
          <w:rFonts w:asciiTheme="minorHAnsi" w:hAnsiTheme="minorHAnsi" w:cstheme="minorHAnsi"/>
        </w:rPr>
        <w:t xml:space="preserve">stock assessment median depletion from the model grid for the recent period (2018–2021; </w:t>
      </w:r>
      <w:proofErr w:type="spellStart"/>
      <w:r w:rsidRPr="00DA0EE6">
        <w:rPr>
          <w:rFonts w:asciiTheme="minorHAnsi" w:hAnsiTheme="minorHAnsi" w:cstheme="minorHAnsi"/>
        </w:rPr>
        <w:t>SB</w:t>
      </w:r>
      <w:r w:rsidRPr="00DA0EE6">
        <w:rPr>
          <w:rFonts w:asciiTheme="minorHAnsi" w:hAnsiTheme="minorHAnsi" w:cstheme="minorHAnsi"/>
          <w:vertAlign w:val="subscript"/>
        </w:rPr>
        <w:t>recent</w:t>
      </w:r>
      <w:proofErr w:type="spellEnd"/>
      <w:r w:rsidRPr="00DA0EE6">
        <w:rPr>
          <w:rFonts w:asciiTheme="minorHAnsi" w:hAnsiTheme="minorHAnsi" w:cstheme="minorHAnsi"/>
        </w:rPr>
        <w:t>/SB</w:t>
      </w:r>
      <w:r w:rsidRPr="00DA0EE6">
        <w:rPr>
          <w:rFonts w:asciiTheme="minorHAnsi" w:hAnsiTheme="minorHAnsi" w:cstheme="minorHAnsi"/>
          <w:vertAlign w:val="subscript"/>
        </w:rPr>
        <w:t>F=0</w:t>
      </w:r>
      <w:r w:rsidRPr="00DA0EE6">
        <w:rPr>
          <w:rFonts w:asciiTheme="minorHAnsi" w:hAnsiTheme="minorHAnsi" w:cstheme="minorHAnsi"/>
        </w:rPr>
        <w:t>) was estimated at 0.47 (10</w:t>
      </w:r>
      <w:r w:rsidRPr="00DA0EE6">
        <w:rPr>
          <w:rFonts w:asciiTheme="minorHAnsi" w:hAnsiTheme="minorHAnsi" w:cstheme="minorHAnsi"/>
          <w:vertAlign w:val="superscript"/>
        </w:rPr>
        <w:t>th</w:t>
      </w:r>
      <w:r w:rsidRPr="00DA0EE6">
        <w:rPr>
          <w:rFonts w:asciiTheme="minorHAnsi" w:hAnsiTheme="minorHAnsi" w:cstheme="minorHAnsi"/>
        </w:rPr>
        <w:t xml:space="preserve"> to 90</w:t>
      </w:r>
      <w:r w:rsidRPr="00DA0EE6">
        <w:rPr>
          <w:rFonts w:asciiTheme="minorHAnsi" w:hAnsiTheme="minorHAnsi" w:cstheme="minorHAnsi"/>
          <w:vertAlign w:val="superscript"/>
        </w:rPr>
        <w:t>th</w:t>
      </w:r>
      <w:r w:rsidRPr="00DA0EE6">
        <w:rPr>
          <w:rFonts w:asciiTheme="minorHAnsi" w:hAnsiTheme="minorHAnsi" w:cstheme="minorHAnsi"/>
        </w:rPr>
        <w:t xml:space="preserve"> percentile interval of 0.42 to 0.52, including estimation and structural uncertainty). For all models in the grid </w:t>
      </w:r>
      <w:proofErr w:type="spellStart"/>
      <w:r w:rsidRPr="00DA0EE6">
        <w:rPr>
          <w:rFonts w:asciiTheme="minorHAnsi" w:hAnsiTheme="minorHAnsi" w:cstheme="minorHAnsi"/>
        </w:rPr>
        <w:t>SB</w:t>
      </w:r>
      <w:r w:rsidRPr="00DA0EE6">
        <w:rPr>
          <w:rFonts w:asciiTheme="minorHAnsi" w:hAnsiTheme="minorHAnsi" w:cstheme="minorHAnsi"/>
          <w:vertAlign w:val="subscript"/>
        </w:rPr>
        <w:t>recent</w:t>
      </w:r>
      <w:proofErr w:type="spellEnd"/>
      <w:r w:rsidRPr="00DA0EE6">
        <w:rPr>
          <w:rFonts w:asciiTheme="minorHAnsi" w:hAnsiTheme="minorHAnsi" w:cstheme="minorHAnsi"/>
        </w:rPr>
        <w:t>/SB</w:t>
      </w:r>
      <w:r w:rsidRPr="00DA0EE6">
        <w:rPr>
          <w:rFonts w:asciiTheme="minorHAnsi" w:hAnsiTheme="minorHAnsi" w:cstheme="minorHAnsi"/>
          <w:vertAlign w:val="subscript"/>
        </w:rPr>
        <w:t>F=0</w:t>
      </w:r>
      <w:r w:rsidRPr="00DA0EE6">
        <w:rPr>
          <w:rFonts w:asciiTheme="minorHAnsi" w:hAnsiTheme="minorHAnsi" w:cstheme="minorHAnsi"/>
        </w:rPr>
        <w:t xml:space="preserve"> was above the biomass limit reference point. The recent median fishing mortality (2017–2020; </w:t>
      </w:r>
      <w:proofErr w:type="spellStart"/>
      <w:r w:rsidRPr="00DA0EE6">
        <w:rPr>
          <w:rFonts w:asciiTheme="minorHAnsi" w:hAnsiTheme="minorHAnsi" w:cstheme="minorHAnsi"/>
        </w:rPr>
        <w:t>F</w:t>
      </w:r>
      <w:r w:rsidRPr="00DA0EE6">
        <w:rPr>
          <w:rFonts w:asciiTheme="minorHAnsi" w:hAnsiTheme="minorHAnsi" w:cstheme="minorHAnsi"/>
          <w:vertAlign w:val="subscript"/>
        </w:rPr>
        <w:t>recent</w:t>
      </w:r>
      <w:proofErr w:type="spellEnd"/>
      <w:r w:rsidRPr="00DA0EE6">
        <w:rPr>
          <w:rFonts w:asciiTheme="minorHAnsi" w:hAnsiTheme="minorHAnsi" w:cstheme="minorHAnsi"/>
        </w:rPr>
        <w:t>/F</w:t>
      </w:r>
      <w:r w:rsidRPr="00DA0EE6">
        <w:rPr>
          <w:rFonts w:asciiTheme="minorHAnsi" w:hAnsiTheme="minorHAnsi" w:cstheme="minorHAnsi"/>
          <w:vertAlign w:val="subscript"/>
        </w:rPr>
        <w:t>MSY</w:t>
      </w:r>
      <w:r w:rsidRPr="00DA0EE6">
        <w:rPr>
          <w:rFonts w:asciiTheme="minorHAnsi" w:hAnsiTheme="minorHAnsi" w:cstheme="minorHAnsi"/>
        </w:rPr>
        <w:t>) was 0.50 (10</w:t>
      </w:r>
      <w:r w:rsidRPr="00DA0EE6">
        <w:rPr>
          <w:rFonts w:asciiTheme="minorHAnsi" w:hAnsiTheme="minorHAnsi" w:cstheme="minorHAnsi"/>
          <w:vertAlign w:val="superscript"/>
        </w:rPr>
        <w:t>th</w:t>
      </w:r>
      <w:r w:rsidRPr="00DA0EE6">
        <w:rPr>
          <w:rFonts w:asciiTheme="minorHAnsi" w:hAnsiTheme="minorHAnsi" w:cstheme="minorHAnsi"/>
        </w:rPr>
        <w:t xml:space="preserve"> to 90</w:t>
      </w:r>
      <w:r w:rsidRPr="00DA0EE6">
        <w:rPr>
          <w:rFonts w:asciiTheme="minorHAnsi" w:hAnsiTheme="minorHAnsi" w:cstheme="minorHAnsi"/>
          <w:vertAlign w:val="superscript"/>
        </w:rPr>
        <w:t>th</w:t>
      </w:r>
      <w:r w:rsidRPr="00DA0EE6">
        <w:rPr>
          <w:rFonts w:asciiTheme="minorHAnsi" w:hAnsiTheme="minorHAnsi" w:cstheme="minorHAnsi"/>
        </w:rPr>
        <w:t xml:space="preserve"> percentile interval of 0.41 to 0.62, including estimation and structural uncertainty, Table YFT-02).  For all models in the grid, </w:t>
      </w:r>
      <w:proofErr w:type="spellStart"/>
      <w:r w:rsidRPr="00DA0EE6">
        <w:rPr>
          <w:rFonts w:asciiTheme="minorHAnsi" w:hAnsiTheme="minorHAnsi" w:cstheme="minorHAnsi"/>
        </w:rPr>
        <w:t>F</w:t>
      </w:r>
      <w:r w:rsidRPr="00DA0EE6">
        <w:rPr>
          <w:rFonts w:asciiTheme="minorHAnsi" w:hAnsiTheme="minorHAnsi" w:cstheme="minorHAnsi"/>
          <w:vertAlign w:val="subscript"/>
        </w:rPr>
        <w:t>recent</w:t>
      </w:r>
      <w:proofErr w:type="spellEnd"/>
      <w:r w:rsidRPr="00DA0EE6">
        <w:rPr>
          <w:rFonts w:asciiTheme="minorHAnsi" w:hAnsiTheme="minorHAnsi" w:cstheme="minorHAnsi"/>
        </w:rPr>
        <w:t>/F</w:t>
      </w:r>
      <w:r w:rsidRPr="00DA0EE6">
        <w:rPr>
          <w:rFonts w:asciiTheme="minorHAnsi" w:hAnsiTheme="minorHAnsi" w:cstheme="minorHAnsi"/>
          <w:vertAlign w:val="subscript"/>
        </w:rPr>
        <w:t>MSY</w:t>
      </w:r>
      <w:r w:rsidRPr="00DA0EE6">
        <w:rPr>
          <w:rFonts w:asciiTheme="minorHAnsi" w:hAnsiTheme="minorHAnsi" w:cstheme="minorHAnsi"/>
        </w:rPr>
        <w:t xml:space="preserve"> was less than one.  </w:t>
      </w:r>
    </w:p>
    <w:p w14:paraId="7914D7F7" w14:textId="77777777" w:rsidR="00DA0EE6" w:rsidRPr="00DA0EE6" w:rsidRDefault="00DA0EE6" w:rsidP="00DA0EE6">
      <w:pPr>
        <w:pStyle w:val="WCPFCpara"/>
        <w:spacing w:after="0"/>
        <w:ind w:left="360" w:firstLine="0"/>
        <w:rPr>
          <w:rFonts w:asciiTheme="minorHAnsi" w:hAnsiTheme="minorHAnsi" w:cstheme="minorHAnsi"/>
        </w:rPr>
      </w:pPr>
    </w:p>
    <w:p w14:paraId="2FAE1438"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 xml:space="preserve">SC19 noted that the spawning potential of the stock has become more depleted across all model regions until around 2010, after which it has become more stable, or shown a slight increase.  </w:t>
      </w:r>
    </w:p>
    <w:p w14:paraId="444A7AFD" w14:textId="77777777" w:rsidR="00DA0EE6" w:rsidRPr="00DA0EE6" w:rsidRDefault="00DA0EE6" w:rsidP="00DA0EE6">
      <w:pPr>
        <w:pStyle w:val="WCPFCpara"/>
        <w:spacing w:after="0"/>
        <w:ind w:left="360" w:firstLine="0"/>
        <w:rPr>
          <w:rFonts w:asciiTheme="minorHAnsi" w:hAnsiTheme="minorHAnsi" w:cstheme="minorHAnsi"/>
        </w:rPr>
      </w:pPr>
    </w:p>
    <w:p w14:paraId="785D2329"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 xml:space="preserve">SC19 also noted that average fishing mortality rates for juvenile and adult age-classes have increased throughout the period of the assessment, although more so for juveniles which have experienced considerably higher fishing mortality than adults. In the recent period (2015-2021), a sharp increase in juvenile fishing mortality was estimated, while adult fishing mortality stabilized. </w:t>
      </w:r>
    </w:p>
    <w:p w14:paraId="281AC146" w14:textId="77777777" w:rsidR="00DA0EE6" w:rsidRPr="00DA0EE6" w:rsidRDefault="00DA0EE6" w:rsidP="00DA0EE6">
      <w:pPr>
        <w:pStyle w:val="ListParagraph"/>
        <w:adjustRightInd w:val="0"/>
        <w:snapToGrid w:val="0"/>
        <w:ind w:left="360"/>
        <w:jc w:val="both"/>
        <w:rPr>
          <w:rFonts w:asciiTheme="minorHAnsi" w:hAnsiTheme="minorHAnsi" w:cstheme="minorHAnsi"/>
          <w:b/>
          <w:bCs/>
          <w:lang w:val="en-GB"/>
        </w:rPr>
      </w:pPr>
    </w:p>
    <w:p w14:paraId="25756B21"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Table YFT-01</w:t>
      </w:r>
      <w:r w:rsidRPr="00DA0EE6">
        <w:rPr>
          <w:rFonts w:asciiTheme="minorHAnsi" w:hAnsiTheme="minorHAnsi" w:cstheme="minorHAnsi"/>
          <w:lang w:val="en-GB"/>
        </w:rPr>
        <w:t xml:space="preserve">: Summary of reference points over the 54 individual models in the structural uncertainty grid, along with results incorporating estimation uncertainty (Table 5 from SC19-SA-WP-04). </w:t>
      </w:r>
    </w:p>
    <w:tbl>
      <w:tblPr>
        <w:tblW w:w="9356" w:type="dxa"/>
        <w:tblInd w:w="108" w:type="dxa"/>
        <w:tblLook w:val="04A0" w:firstRow="1" w:lastRow="0" w:firstColumn="1" w:lastColumn="0" w:noHBand="0" w:noVBand="1"/>
      </w:tblPr>
      <w:tblGrid>
        <w:gridCol w:w="1266"/>
        <w:gridCol w:w="945"/>
        <w:gridCol w:w="1050"/>
        <w:gridCol w:w="945"/>
        <w:gridCol w:w="1286"/>
        <w:gridCol w:w="1191"/>
        <w:gridCol w:w="972"/>
        <w:gridCol w:w="1701"/>
      </w:tblGrid>
      <w:tr w:rsidR="00DA0EE6" w:rsidRPr="00DA0EE6" w14:paraId="27E5B3A4" w14:textId="77777777" w:rsidTr="00AC1A8B">
        <w:trPr>
          <w:trHeight w:val="290"/>
        </w:trPr>
        <w:tc>
          <w:tcPr>
            <w:tcW w:w="1266" w:type="dxa"/>
            <w:tcBorders>
              <w:top w:val="single" w:sz="4" w:space="0" w:color="auto"/>
              <w:left w:val="nil"/>
              <w:bottom w:val="single" w:sz="4" w:space="0" w:color="auto"/>
              <w:right w:val="nil"/>
            </w:tcBorders>
            <w:shd w:val="clear" w:color="auto" w:fill="auto"/>
            <w:noWrap/>
            <w:vAlign w:val="bottom"/>
            <w:hideMark/>
          </w:tcPr>
          <w:p w14:paraId="249B9C85" w14:textId="77777777" w:rsidR="00DA0EE6" w:rsidRPr="00DA0EE6" w:rsidRDefault="00DA0EE6" w:rsidP="00AC1A8B">
            <w:pPr>
              <w:widowControl w:val="0"/>
              <w:adjustRightInd w:val="0"/>
              <w:snapToGrid w:val="0"/>
              <w:jc w:val="right"/>
              <w:rPr>
                <w:rFonts w:cstheme="minorHAnsi"/>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00D05165"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52CF3036"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71795B03"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57A56DC3"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0070AC6F"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7D93C296"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max</w:t>
            </w:r>
          </w:p>
        </w:tc>
        <w:tc>
          <w:tcPr>
            <w:tcW w:w="1701" w:type="dxa"/>
            <w:tcBorders>
              <w:top w:val="single" w:sz="4" w:space="0" w:color="auto"/>
              <w:left w:val="nil"/>
              <w:bottom w:val="single" w:sz="4" w:space="0" w:color="auto"/>
              <w:right w:val="nil"/>
            </w:tcBorders>
            <w:shd w:val="clear" w:color="auto" w:fill="auto"/>
            <w:noWrap/>
            <w:vAlign w:val="bottom"/>
            <w:hideMark/>
          </w:tcPr>
          <w:p w14:paraId="289CF167"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diagnostic model</w:t>
            </w:r>
          </w:p>
        </w:tc>
      </w:tr>
      <w:tr w:rsidR="00DA0EE6" w:rsidRPr="00DA0EE6" w14:paraId="1306A514" w14:textId="77777777" w:rsidTr="00AC1A8B">
        <w:trPr>
          <w:trHeight w:val="290"/>
        </w:trPr>
        <w:tc>
          <w:tcPr>
            <w:tcW w:w="1266" w:type="dxa"/>
            <w:tcBorders>
              <w:top w:val="single" w:sz="4" w:space="0" w:color="auto"/>
              <w:left w:val="nil"/>
              <w:bottom w:val="nil"/>
              <w:right w:val="nil"/>
            </w:tcBorders>
            <w:shd w:val="clear" w:color="auto" w:fill="auto"/>
            <w:noWrap/>
            <w:vAlign w:val="bottom"/>
            <w:hideMark/>
          </w:tcPr>
          <w:p w14:paraId="32296F66"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C</w:t>
            </w:r>
            <w:r w:rsidRPr="00DA0EE6">
              <w:rPr>
                <w:rFonts w:cstheme="minorHAnsi"/>
                <w:b/>
                <w:color w:val="000000"/>
                <w:sz w:val="18"/>
                <w:szCs w:val="18"/>
                <w:vertAlign w:val="subscript"/>
                <w:lang w:val="en-GB"/>
              </w:rPr>
              <w:t>latest</w:t>
            </w:r>
            <w:proofErr w:type="spellEnd"/>
          </w:p>
        </w:tc>
        <w:tc>
          <w:tcPr>
            <w:tcW w:w="945" w:type="dxa"/>
            <w:tcBorders>
              <w:top w:val="single" w:sz="4" w:space="0" w:color="auto"/>
              <w:left w:val="nil"/>
              <w:bottom w:val="nil"/>
              <w:right w:val="nil"/>
            </w:tcBorders>
            <w:shd w:val="clear" w:color="auto" w:fill="auto"/>
            <w:noWrap/>
            <w:vAlign w:val="bottom"/>
            <w:hideMark/>
          </w:tcPr>
          <w:p w14:paraId="7AA3673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751657</w:t>
            </w:r>
          </w:p>
        </w:tc>
        <w:tc>
          <w:tcPr>
            <w:tcW w:w="1050" w:type="dxa"/>
            <w:tcBorders>
              <w:top w:val="single" w:sz="4" w:space="0" w:color="auto"/>
              <w:left w:val="nil"/>
              <w:bottom w:val="nil"/>
              <w:right w:val="nil"/>
            </w:tcBorders>
            <w:shd w:val="clear" w:color="auto" w:fill="auto"/>
            <w:noWrap/>
            <w:vAlign w:val="bottom"/>
            <w:hideMark/>
          </w:tcPr>
          <w:p w14:paraId="69BB3D3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751856</w:t>
            </w:r>
          </w:p>
        </w:tc>
        <w:tc>
          <w:tcPr>
            <w:tcW w:w="945" w:type="dxa"/>
            <w:tcBorders>
              <w:top w:val="single" w:sz="4" w:space="0" w:color="auto"/>
              <w:left w:val="nil"/>
              <w:bottom w:val="nil"/>
              <w:right w:val="nil"/>
            </w:tcBorders>
            <w:shd w:val="clear" w:color="auto" w:fill="auto"/>
            <w:noWrap/>
            <w:vAlign w:val="bottom"/>
            <w:hideMark/>
          </w:tcPr>
          <w:p w14:paraId="4F281C4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750785</w:t>
            </w:r>
          </w:p>
        </w:tc>
        <w:tc>
          <w:tcPr>
            <w:tcW w:w="1286" w:type="dxa"/>
            <w:tcBorders>
              <w:top w:val="single" w:sz="4" w:space="0" w:color="auto"/>
              <w:left w:val="nil"/>
              <w:bottom w:val="nil"/>
              <w:right w:val="nil"/>
            </w:tcBorders>
            <w:shd w:val="clear" w:color="auto" w:fill="auto"/>
            <w:noWrap/>
            <w:vAlign w:val="bottom"/>
            <w:hideMark/>
          </w:tcPr>
          <w:p w14:paraId="50D0C91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750860</w:t>
            </w:r>
          </w:p>
        </w:tc>
        <w:tc>
          <w:tcPr>
            <w:tcW w:w="1191" w:type="dxa"/>
            <w:tcBorders>
              <w:top w:val="single" w:sz="4" w:space="0" w:color="auto"/>
              <w:left w:val="nil"/>
              <w:bottom w:val="nil"/>
              <w:right w:val="nil"/>
            </w:tcBorders>
            <w:shd w:val="clear" w:color="auto" w:fill="auto"/>
            <w:noWrap/>
            <w:vAlign w:val="bottom"/>
            <w:hideMark/>
          </w:tcPr>
          <w:p w14:paraId="74BEA11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752268</w:t>
            </w:r>
          </w:p>
        </w:tc>
        <w:tc>
          <w:tcPr>
            <w:tcW w:w="972" w:type="dxa"/>
            <w:tcBorders>
              <w:top w:val="single" w:sz="4" w:space="0" w:color="auto"/>
              <w:left w:val="nil"/>
              <w:bottom w:val="nil"/>
              <w:right w:val="nil"/>
            </w:tcBorders>
            <w:shd w:val="clear" w:color="auto" w:fill="auto"/>
            <w:noWrap/>
            <w:vAlign w:val="bottom"/>
            <w:hideMark/>
          </w:tcPr>
          <w:p w14:paraId="5037ACC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752337</w:t>
            </w:r>
          </w:p>
        </w:tc>
        <w:tc>
          <w:tcPr>
            <w:tcW w:w="1701" w:type="dxa"/>
            <w:tcBorders>
              <w:top w:val="single" w:sz="4" w:space="0" w:color="auto"/>
              <w:left w:val="nil"/>
              <w:bottom w:val="nil"/>
              <w:right w:val="nil"/>
            </w:tcBorders>
            <w:shd w:val="clear" w:color="auto" w:fill="auto"/>
            <w:noWrap/>
            <w:vAlign w:val="bottom"/>
            <w:hideMark/>
          </w:tcPr>
          <w:p w14:paraId="02EB2C1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751908</w:t>
            </w:r>
          </w:p>
        </w:tc>
      </w:tr>
      <w:tr w:rsidR="00DA0EE6" w:rsidRPr="00DA0EE6" w14:paraId="05F7AA13" w14:textId="77777777" w:rsidTr="00AC1A8B">
        <w:trPr>
          <w:trHeight w:val="290"/>
        </w:trPr>
        <w:tc>
          <w:tcPr>
            <w:tcW w:w="1266" w:type="dxa"/>
            <w:tcBorders>
              <w:top w:val="nil"/>
              <w:left w:val="nil"/>
              <w:bottom w:val="nil"/>
              <w:right w:val="nil"/>
            </w:tcBorders>
            <w:shd w:val="clear" w:color="auto" w:fill="auto"/>
            <w:noWrap/>
            <w:vAlign w:val="bottom"/>
            <w:hideMark/>
          </w:tcPr>
          <w:p w14:paraId="00F7B163"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F</w:t>
            </w:r>
            <w:r w:rsidRPr="00DA0EE6">
              <w:rPr>
                <w:rFonts w:cstheme="minorHAnsi"/>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395CC12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0.07</w:t>
            </w:r>
          </w:p>
        </w:tc>
        <w:tc>
          <w:tcPr>
            <w:tcW w:w="1050" w:type="dxa"/>
            <w:tcBorders>
              <w:top w:val="nil"/>
              <w:left w:val="nil"/>
              <w:bottom w:val="nil"/>
              <w:right w:val="nil"/>
            </w:tcBorders>
            <w:shd w:val="clear" w:color="auto" w:fill="auto"/>
            <w:noWrap/>
            <w:vAlign w:val="bottom"/>
            <w:hideMark/>
          </w:tcPr>
          <w:p w14:paraId="366B237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0.07</w:t>
            </w:r>
          </w:p>
        </w:tc>
        <w:tc>
          <w:tcPr>
            <w:tcW w:w="945" w:type="dxa"/>
            <w:tcBorders>
              <w:top w:val="nil"/>
              <w:left w:val="nil"/>
              <w:bottom w:val="nil"/>
              <w:right w:val="nil"/>
            </w:tcBorders>
            <w:shd w:val="clear" w:color="auto" w:fill="auto"/>
            <w:noWrap/>
            <w:vAlign w:val="bottom"/>
            <w:hideMark/>
          </w:tcPr>
          <w:p w14:paraId="473BEB1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0.06</w:t>
            </w:r>
          </w:p>
        </w:tc>
        <w:tc>
          <w:tcPr>
            <w:tcW w:w="1286" w:type="dxa"/>
            <w:tcBorders>
              <w:top w:val="nil"/>
              <w:left w:val="nil"/>
              <w:bottom w:val="nil"/>
              <w:right w:val="nil"/>
            </w:tcBorders>
            <w:shd w:val="clear" w:color="auto" w:fill="auto"/>
            <w:noWrap/>
            <w:vAlign w:val="bottom"/>
            <w:hideMark/>
          </w:tcPr>
          <w:p w14:paraId="60B7866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0.06</w:t>
            </w:r>
          </w:p>
        </w:tc>
        <w:tc>
          <w:tcPr>
            <w:tcW w:w="1191" w:type="dxa"/>
            <w:tcBorders>
              <w:top w:val="nil"/>
              <w:left w:val="nil"/>
              <w:bottom w:val="nil"/>
              <w:right w:val="nil"/>
            </w:tcBorders>
            <w:shd w:val="clear" w:color="auto" w:fill="auto"/>
            <w:noWrap/>
            <w:vAlign w:val="bottom"/>
            <w:hideMark/>
          </w:tcPr>
          <w:p w14:paraId="7BAD346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0.09</w:t>
            </w:r>
          </w:p>
        </w:tc>
        <w:tc>
          <w:tcPr>
            <w:tcW w:w="972" w:type="dxa"/>
            <w:tcBorders>
              <w:top w:val="nil"/>
              <w:left w:val="nil"/>
              <w:bottom w:val="nil"/>
              <w:right w:val="nil"/>
            </w:tcBorders>
            <w:shd w:val="clear" w:color="auto" w:fill="auto"/>
            <w:noWrap/>
            <w:vAlign w:val="bottom"/>
            <w:hideMark/>
          </w:tcPr>
          <w:p w14:paraId="3EC12D3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0.09</w:t>
            </w:r>
          </w:p>
        </w:tc>
        <w:tc>
          <w:tcPr>
            <w:tcW w:w="1701" w:type="dxa"/>
            <w:tcBorders>
              <w:top w:val="nil"/>
              <w:left w:val="nil"/>
              <w:bottom w:val="nil"/>
              <w:right w:val="nil"/>
            </w:tcBorders>
            <w:shd w:val="clear" w:color="auto" w:fill="auto"/>
            <w:noWrap/>
            <w:vAlign w:val="bottom"/>
            <w:hideMark/>
          </w:tcPr>
          <w:p w14:paraId="13F054F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0.07</w:t>
            </w:r>
          </w:p>
        </w:tc>
      </w:tr>
      <w:tr w:rsidR="00DA0EE6" w:rsidRPr="00DA0EE6" w14:paraId="696B90AF" w14:textId="77777777" w:rsidTr="00AC1A8B">
        <w:trPr>
          <w:trHeight w:val="290"/>
        </w:trPr>
        <w:tc>
          <w:tcPr>
            <w:tcW w:w="1266" w:type="dxa"/>
            <w:tcBorders>
              <w:top w:val="nil"/>
              <w:left w:val="nil"/>
              <w:bottom w:val="nil"/>
              <w:right w:val="nil"/>
            </w:tcBorders>
            <w:shd w:val="clear" w:color="auto" w:fill="auto"/>
            <w:noWrap/>
            <w:vAlign w:val="bottom"/>
          </w:tcPr>
          <w:p w14:paraId="09444C6F" w14:textId="77777777" w:rsidR="00DA0EE6" w:rsidRPr="00DA0EE6" w:rsidRDefault="00DA0EE6" w:rsidP="00AC1A8B">
            <w:pPr>
              <w:widowControl w:val="0"/>
              <w:adjustRightInd w:val="0"/>
              <w:snapToGrid w:val="0"/>
              <w:rPr>
                <w:rFonts w:cstheme="minorHAnsi"/>
                <w:b/>
                <w:i/>
                <w:iCs/>
                <w:color w:val="000000"/>
                <w:sz w:val="18"/>
                <w:szCs w:val="18"/>
                <w:lang w:val="en-GB"/>
              </w:rPr>
            </w:pPr>
            <w:proofErr w:type="spellStart"/>
            <w:r w:rsidRPr="00DA0EE6">
              <w:rPr>
                <w:rFonts w:cstheme="minorHAnsi"/>
                <w:b/>
                <w:i/>
                <w:iCs/>
                <w:color w:val="000000"/>
                <w:sz w:val="18"/>
                <w:szCs w:val="18"/>
                <w:lang w:val="en-GB"/>
              </w:rPr>
              <w:t>F</w:t>
            </w:r>
            <w:r w:rsidRPr="00DA0EE6">
              <w:rPr>
                <w:rFonts w:cstheme="minorHAnsi"/>
                <w:b/>
                <w:i/>
                <w:iCs/>
                <w:color w:val="000000"/>
                <w:sz w:val="18"/>
                <w:szCs w:val="18"/>
                <w:vertAlign w:val="subscript"/>
                <w:lang w:val="en-GB"/>
              </w:rPr>
              <w:t>mult</w:t>
            </w:r>
            <w:proofErr w:type="spellEnd"/>
          </w:p>
        </w:tc>
        <w:tc>
          <w:tcPr>
            <w:tcW w:w="945" w:type="dxa"/>
            <w:tcBorders>
              <w:top w:val="nil"/>
              <w:left w:val="nil"/>
              <w:bottom w:val="nil"/>
              <w:right w:val="nil"/>
            </w:tcBorders>
            <w:shd w:val="clear" w:color="auto" w:fill="auto"/>
            <w:noWrap/>
            <w:vAlign w:val="bottom"/>
          </w:tcPr>
          <w:p w14:paraId="1C34F44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1.96</w:t>
            </w:r>
          </w:p>
        </w:tc>
        <w:tc>
          <w:tcPr>
            <w:tcW w:w="1050" w:type="dxa"/>
            <w:tcBorders>
              <w:top w:val="nil"/>
              <w:left w:val="nil"/>
              <w:bottom w:val="nil"/>
              <w:right w:val="nil"/>
            </w:tcBorders>
            <w:shd w:val="clear" w:color="auto" w:fill="auto"/>
            <w:noWrap/>
            <w:vAlign w:val="bottom"/>
          </w:tcPr>
          <w:p w14:paraId="368BF2E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2.00</w:t>
            </w:r>
          </w:p>
        </w:tc>
        <w:tc>
          <w:tcPr>
            <w:tcW w:w="945" w:type="dxa"/>
            <w:tcBorders>
              <w:top w:val="nil"/>
              <w:left w:val="nil"/>
              <w:bottom w:val="nil"/>
              <w:right w:val="nil"/>
            </w:tcBorders>
            <w:shd w:val="clear" w:color="auto" w:fill="auto"/>
            <w:noWrap/>
            <w:vAlign w:val="bottom"/>
          </w:tcPr>
          <w:p w14:paraId="31F1663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1.47</w:t>
            </w:r>
          </w:p>
        </w:tc>
        <w:tc>
          <w:tcPr>
            <w:tcW w:w="1286" w:type="dxa"/>
            <w:tcBorders>
              <w:top w:val="nil"/>
              <w:left w:val="nil"/>
              <w:bottom w:val="nil"/>
              <w:right w:val="nil"/>
            </w:tcBorders>
            <w:shd w:val="clear" w:color="auto" w:fill="auto"/>
            <w:noWrap/>
            <w:vAlign w:val="bottom"/>
          </w:tcPr>
          <w:p w14:paraId="14EB734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1.64</w:t>
            </w:r>
          </w:p>
        </w:tc>
        <w:tc>
          <w:tcPr>
            <w:tcW w:w="1191" w:type="dxa"/>
            <w:tcBorders>
              <w:top w:val="nil"/>
              <w:left w:val="nil"/>
              <w:bottom w:val="nil"/>
              <w:right w:val="nil"/>
            </w:tcBorders>
            <w:shd w:val="clear" w:color="auto" w:fill="auto"/>
            <w:noWrap/>
            <w:vAlign w:val="bottom"/>
          </w:tcPr>
          <w:p w14:paraId="27B2F53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2.38</w:t>
            </w:r>
          </w:p>
        </w:tc>
        <w:tc>
          <w:tcPr>
            <w:tcW w:w="972" w:type="dxa"/>
            <w:tcBorders>
              <w:top w:val="nil"/>
              <w:left w:val="nil"/>
              <w:bottom w:val="nil"/>
              <w:right w:val="nil"/>
            </w:tcBorders>
            <w:shd w:val="clear" w:color="auto" w:fill="auto"/>
            <w:noWrap/>
            <w:vAlign w:val="bottom"/>
          </w:tcPr>
          <w:p w14:paraId="1776FBB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2.50</w:t>
            </w:r>
          </w:p>
        </w:tc>
        <w:tc>
          <w:tcPr>
            <w:tcW w:w="1701" w:type="dxa"/>
            <w:tcBorders>
              <w:top w:val="nil"/>
              <w:left w:val="nil"/>
              <w:bottom w:val="nil"/>
              <w:right w:val="nil"/>
            </w:tcBorders>
            <w:shd w:val="clear" w:color="auto" w:fill="auto"/>
            <w:noWrap/>
            <w:vAlign w:val="bottom"/>
          </w:tcPr>
          <w:p w14:paraId="4AA2FA5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1.89</w:t>
            </w:r>
          </w:p>
        </w:tc>
      </w:tr>
      <w:tr w:rsidR="00DA0EE6" w:rsidRPr="00DA0EE6" w14:paraId="2095B465" w14:textId="77777777" w:rsidTr="00AC1A8B">
        <w:trPr>
          <w:trHeight w:val="290"/>
        </w:trPr>
        <w:tc>
          <w:tcPr>
            <w:tcW w:w="1266" w:type="dxa"/>
            <w:tcBorders>
              <w:top w:val="nil"/>
              <w:left w:val="nil"/>
              <w:bottom w:val="nil"/>
              <w:right w:val="nil"/>
            </w:tcBorders>
            <w:shd w:val="clear" w:color="auto" w:fill="auto"/>
            <w:noWrap/>
            <w:vAlign w:val="bottom"/>
            <w:hideMark/>
          </w:tcPr>
          <w:p w14:paraId="5E9A6DAD"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F</w:t>
            </w:r>
            <w:r w:rsidRPr="00DA0EE6">
              <w:rPr>
                <w:rFonts w:cstheme="minorHAnsi"/>
                <w:b/>
                <w:color w:val="000000"/>
                <w:sz w:val="18"/>
                <w:szCs w:val="18"/>
                <w:vertAlign w:val="subscript"/>
                <w:lang w:val="en-GB"/>
              </w:rPr>
              <w:t>recent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F</w:t>
            </w:r>
            <w:r w:rsidRPr="00DA0EE6">
              <w:rPr>
                <w:rFonts w:cstheme="minorHAnsi"/>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656E797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0.51</w:t>
            </w:r>
          </w:p>
        </w:tc>
        <w:tc>
          <w:tcPr>
            <w:tcW w:w="1050" w:type="dxa"/>
            <w:tcBorders>
              <w:top w:val="nil"/>
              <w:left w:val="nil"/>
              <w:bottom w:val="nil"/>
              <w:right w:val="nil"/>
            </w:tcBorders>
            <w:shd w:val="clear" w:color="auto" w:fill="auto"/>
            <w:noWrap/>
            <w:vAlign w:val="bottom"/>
            <w:hideMark/>
          </w:tcPr>
          <w:p w14:paraId="5A36881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7910E87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0.40</w:t>
            </w:r>
          </w:p>
        </w:tc>
        <w:tc>
          <w:tcPr>
            <w:tcW w:w="1286" w:type="dxa"/>
            <w:tcBorders>
              <w:top w:val="nil"/>
              <w:left w:val="nil"/>
              <w:bottom w:val="nil"/>
              <w:right w:val="nil"/>
            </w:tcBorders>
            <w:shd w:val="clear" w:color="auto" w:fill="auto"/>
            <w:noWrap/>
            <w:vAlign w:val="bottom"/>
            <w:hideMark/>
          </w:tcPr>
          <w:p w14:paraId="18B25FCB"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0.42</w:t>
            </w:r>
          </w:p>
        </w:tc>
        <w:tc>
          <w:tcPr>
            <w:tcW w:w="1191" w:type="dxa"/>
            <w:tcBorders>
              <w:top w:val="nil"/>
              <w:left w:val="nil"/>
              <w:bottom w:val="nil"/>
              <w:right w:val="nil"/>
            </w:tcBorders>
            <w:shd w:val="clear" w:color="auto" w:fill="auto"/>
            <w:noWrap/>
            <w:vAlign w:val="bottom"/>
            <w:hideMark/>
          </w:tcPr>
          <w:p w14:paraId="0E11A45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0.61</w:t>
            </w:r>
          </w:p>
        </w:tc>
        <w:tc>
          <w:tcPr>
            <w:tcW w:w="972" w:type="dxa"/>
            <w:tcBorders>
              <w:top w:val="nil"/>
              <w:left w:val="nil"/>
              <w:bottom w:val="nil"/>
              <w:right w:val="nil"/>
            </w:tcBorders>
            <w:shd w:val="clear" w:color="auto" w:fill="auto"/>
            <w:noWrap/>
            <w:vAlign w:val="bottom"/>
            <w:hideMark/>
          </w:tcPr>
          <w:p w14:paraId="55D9B2C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0.68</w:t>
            </w:r>
          </w:p>
        </w:tc>
        <w:tc>
          <w:tcPr>
            <w:tcW w:w="1701" w:type="dxa"/>
            <w:tcBorders>
              <w:top w:val="nil"/>
              <w:left w:val="nil"/>
              <w:bottom w:val="nil"/>
              <w:right w:val="nil"/>
            </w:tcBorders>
            <w:shd w:val="clear" w:color="auto" w:fill="auto"/>
            <w:noWrap/>
            <w:vAlign w:val="bottom"/>
            <w:hideMark/>
          </w:tcPr>
          <w:p w14:paraId="1BAB959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0.53</w:t>
            </w:r>
          </w:p>
        </w:tc>
      </w:tr>
      <w:tr w:rsidR="00DA0EE6" w:rsidRPr="00DA0EE6" w14:paraId="7D2F9DE7" w14:textId="77777777" w:rsidTr="00AC1A8B">
        <w:trPr>
          <w:trHeight w:val="290"/>
        </w:trPr>
        <w:tc>
          <w:tcPr>
            <w:tcW w:w="1266" w:type="dxa"/>
            <w:tcBorders>
              <w:top w:val="nil"/>
              <w:left w:val="nil"/>
              <w:bottom w:val="nil"/>
              <w:right w:val="nil"/>
            </w:tcBorders>
            <w:shd w:val="clear" w:color="auto" w:fill="auto"/>
            <w:noWrap/>
            <w:vAlign w:val="bottom"/>
            <w:hideMark/>
          </w:tcPr>
          <w:p w14:paraId="2A363C91"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MSY</w:t>
            </w:r>
          </w:p>
        </w:tc>
        <w:tc>
          <w:tcPr>
            <w:tcW w:w="945" w:type="dxa"/>
            <w:tcBorders>
              <w:top w:val="nil"/>
              <w:left w:val="nil"/>
              <w:bottom w:val="nil"/>
              <w:right w:val="nil"/>
            </w:tcBorders>
            <w:shd w:val="clear" w:color="auto" w:fill="auto"/>
            <w:noWrap/>
            <w:vAlign w:val="bottom"/>
            <w:hideMark/>
          </w:tcPr>
          <w:p w14:paraId="7DBE512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697874</w:t>
            </w:r>
          </w:p>
        </w:tc>
        <w:tc>
          <w:tcPr>
            <w:tcW w:w="1050" w:type="dxa"/>
            <w:tcBorders>
              <w:top w:val="nil"/>
              <w:left w:val="nil"/>
              <w:bottom w:val="nil"/>
              <w:right w:val="nil"/>
            </w:tcBorders>
            <w:shd w:val="clear" w:color="auto" w:fill="auto"/>
            <w:noWrap/>
            <w:vAlign w:val="bottom"/>
            <w:hideMark/>
          </w:tcPr>
          <w:p w14:paraId="093C342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700400</w:t>
            </w:r>
          </w:p>
        </w:tc>
        <w:tc>
          <w:tcPr>
            <w:tcW w:w="945" w:type="dxa"/>
            <w:tcBorders>
              <w:top w:val="nil"/>
              <w:left w:val="nil"/>
              <w:bottom w:val="nil"/>
              <w:right w:val="nil"/>
            </w:tcBorders>
            <w:shd w:val="clear" w:color="auto" w:fill="auto"/>
            <w:noWrap/>
            <w:vAlign w:val="bottom"/>
            <w:hideMark/>
          </w:tcPr>
          <w:p w14:paraId="65A8FD0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616800</w:t>
            </w:r>
          </w:p>
        </w:tc>
        <w:tc>
          <w:tcPr>
            <w:tcW w:w="1286" w:type="dxa"/>
            <w:tcBorders>
              <w:top w:val="nil"/>
              <w:left w:val="nil"/>
              <w:bottom w:val="nil"/>
              <w:right w:val="nil"/>
            </w:tcBorders>
            <w:shd w:val="clear" w:color="auto" w:fill="auto"/>
            <w:noWrap/>
            <w:vAlign w:val="bottom"/>
            <w:hideMark/>
          </w:tcPr>
          <w:p w14:paraId="1EFEE47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644320</w:t>
            </w:r>
          </w:p>
        </w:tc>
        <w:tc>
          <w:tcPr>
            <w:tcW w:w="1191" w:type="dxa"/>
            <w:tcBorders>
              <w:top w:val="nil"/>
              <w:left w:val="nil"/>
              <w:bottom w:val="nil"/>
              <w:right w:val="nil"/>
            </w:tcBorders>
            <w:shd w:val="clear" w:color="auto" w:fill="auto"/>
            <w:noWrap/>
            <w:vAlign w:val="bottom"/>
            <w:hideMark/>
          </w:tcPr>
          <w:p w14:paraId="339029B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739560</w:t>
            </w:r>
          </w:p>
        </w:tc>
        <w:tc>
          <w:tcPr>
            <w:tcW w:w="972" w:type="dxa"/>
            <w:tcBorders>
              <w:top w:val="nil"/>
              <w:left w:val="nil"/>
              <w:bottom w:val="nil"/>
              <w:right w:val="nil"/>
            </w:tcBorders>
            <w:shd w:val="clear" w:color="auto" w:fill="auto"/>
            <w:noWrap/>
            <w:vAlign w:val="bottom"/>
            <w:hideMark/>
          </w:tcPr>
          <w:p w14:paraId="3C9CFB9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771600</w:t>
            </w:r>
          </w:p>
        </w:tc>
        <w:tc>
          <w:tcPr>
            <w:tcW w:w="1701" w:type="dxa"/>
            <w:tcBorders>
              <w:top w:val="nil"/>
              <w:left w:val="nil"/>
              <w:bottom w:val="nil"/>
              <w:right w:val="nil"/>
            </w:tcBorders>
            <w:shd w:val="clear" w:color="auto" w:fill="auto"/>
            <w:noWrap/>
            <w:vAlign w:val="bottom"/>
            <w:hideMark/>
          </w:tcPr>
          <w:p w14:paraId="6D6CACD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671600</w:t>
            </w:r>
          </w:p>
        </w:tc>
      </w:tr>
      <w:tr w:rsidR="00DA0EE6" w:rsidRPr="00DA0EE6" w14:paraId="1C752207" w14:textId="77777777" w:rsidTr="00AC1A8B">
        <w:trPr>
          <w:trHeight w:val="290"/>
        </w:trPr>
        <w:tc>
          <w:tcPr>
            <w:tcW w:w="1266" w:type="dxa"/>
            <w:tcBorders>
              <w:top w:val="nil"/>
              <w:left w:val="nil"/>
              <w:bottom w:val="nil"/>
              <w:right w:val="nil"/>
            </w:tcBorders>
            <w:shd w:val="clear" w:color="auto" w:fill="auto"/>
            <w:noWrap/>
            <w:vAlign w:val="bottom"/>
            <w:hideMark/>
          </w:tcPr>
          <w:p w14:paraId="26C9930B"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1E1AC4A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5761796</w:t>
            </w:r>
          </w:p>
        </w:tc>
        <w:tc>
          <w:tcPr>
            <w:tcW w:w="1050" w:type="dxa"/>
            <w:tcBorders>
              <w:top w:val="nil"/>
              <w:left w:val="nil"/>
              <w:bottom w:val="nil"/>
              <w:right w:val="nil"/>
            </w:tcBorders>
            <w:shd w:val="clear" w:color="auto" w:fill="auto"/>
            <w:noWrap/>
            <w:vAlign w:val="bottom"/>
            <w:hideMark/>
          </w:tcPr>
          <w:p w14:paraId="03F7AC6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5729000</w:t>
            </w:r>
          </w:p>
        </w:tc>
        <w:tc>
          <w:tcPr>
            <w:tcW w:w="945" w:type="dxa"/>
            <w:tcBorders>
              <w:top w:val="nil"/>
              <w:left w:val="nil"/>
              <w:bottom w:val="nil"/>
              <w:right w:val="nil"/>
            </w:tcBorders>
            <w:shd w:val="clear" w:color="auto" w:fill="auto"/>
            <w:noWrap/>
            <w:vAlign w:val="bottom"/>
            <w:hideMark/>
          </w:tcPr>
          <w:p w14:paraId="4F9D2AC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4455000</w:t>
            </w:r>
          </w:p>
        </w:tc>
        <w:tc>
          <w:tcPr>
            <w:tcW w:w="1286" w:type="dxa"/>
            <w:tcBorders>
              <w:top w:val="nil"/>
              <w:left w:val="nil"/>
              <w:bottom w:val="nil"/>
              <w:right w:val="nil"/>
            </w:tcBorders>
            <w:shd w:val="clear" w:color="auto" w:fill="auto"/>
            <w:noWrap/>
            <w:vAlign w:val="bottom"/>
            <w:hideMark/>
          </w:tcPr>
          <w:p w14:paraId="5B7E115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4817200</w:t>
            </w:r>
          </w:p>
        </w:tc>
        <w:tc>
          <w:tcPr>
            <w:tcW w:w="1191" w:type="dxa"/>
            <w:tcBorders>
              <w:top w:val="nil"/>
              <w:left w:val="nil"/>
              <w:bottom w:val="nil"/>
              <w:right w:val="nil"/>
            </w:tcBorders>
            <w:shd w:val="clear" w:color="auto" w:fill="auto"/>
            <w:noWrap/>
            <w:vAlign w:val="bottom"/>
            <w:hideMark/>
          </w:tcPr>
          <w:p w14:paraId="0E6B3D2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6640900</w:t>
            </w:r>
          </w:p>
        </w:tc>
        <w:tc>
          <w:tcPr>
            <w:tcW w:w="972" w:type="dxa"/>
            <w:tcBorders>
              <w:top w:val="nil"/>
              <w:left w:val="nil"/>
              <w:bottom w:val="nil"/>
              <w:right w:val="nil"/>
            </w:tcBorders>
            <w:shd w:val="clear" w:color="auto" w:fill="auto"/>
            <w:noWrap/>
            <w:vAlign w:val="bottom"/>
            <w:hideMark/>
          </w:tcPr>
          <w:p w14:paraId="4315A3C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7279000</w:t>
            </w:r>
          </w:p>
        </w:tc>
        <w:tc>
          <w:tcPr>
            <w:tcW w:w="1701" w:type="dxa"/>
            <w:tcBorders>
              <w:top w:val="nil"/>
              <w:left w:val="nil"/>
              <w:bottom w:val="nil"/>
              <w:right w:val="nil"/>
            </w:tcBorders>
            <w:shd w:val="clear" w:color="auto" w:fill="auto"/>
            <w:noWrap/>
            <w:vAlign w:val="bottom"/>
            <w:hideMark/>
          </w:tcPr>
          <w:p w14:paraId="30392CB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5216000</w:t>
            </w:r>
          </w:p>
        </w:tc>
      </w:tr>
      <w:tr w:rsidR="00DA0EE6" w:rsidRPr="00DA0EE6" w14:paraId="2CB925D1" w14:textId="77777777" w:rsidTr="00AC1A8B">
        <w:trPr>
          <w:trHeight w:val="290"/>
        </w:trPr>
        <w:tc>
          <w:tcPr>
            <w:tcW w:w="1266" w:type="dxa"/>
            <w:tcBorders>
              <w:top w:val="nil"/>
              <w:left w:val="nil"/>
              <w:bottom w:val="nil"/>
              <w:right w:val="nil"/>
            </w:tcBorders>
            <w:shd w:val="clear" w:color="auto" w:fill="auto"/>
            <w:noWrap/>
            <w:vAlign w:val="bottom"/>
            <w:hideMark/>
          </w:tcPr>
          <w:p w14:paraId="54A72D33"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SB</w:t>
            </w:r>
            <w:r w:rsidRPr="00DA0EE6">
              <w:rPr>
                <w:rFonts w:cstheme="minorHAnsi"/>
                <w:b/>
                <w:i/>
                <w:iCs/>
                <w:color w:val="000000"/>
                <w:sz w:val="18"/>
                <w:szCs w:val="18"/>
                <w:vertAlign w:val="subscript"/>
                <w:lang w:val="en-GB"/>
              </w:rPr>
              <w:t>F</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2C7DE26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5633743</w:t>
            </w:r>
          </w:p>
        </w:tc>
        <w:tc>
          <w:tcPr>
            <w:tcW w:w="1050" w:type="dxa"/>
            <w:tcBorders>
              <w:top w:val="nil"/>
              <w:left w:val="nil"/>
              <w:bottom w:val="nil"/>
              <w:right w:val="nil"/>
            </w:tcBorders>
            <w:shd w:val="clear" w:color="auto" w:fill="auto"/>
            <w:noWrap/>
            <w:vAlign w:val="bottom"/>
            <w:hideMark/>
          </w:tcPr>
          <w:p w14:paraId="74628FC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5603267</w:t>
            </w:r>
          </w:p>
        </w:tc>
        <w:tc>
          <w:tcPr>
            <w:tcW w:w="945" w:type="dxa"/>
            <w:tcBorders>
              <w:top w:val="nil"/>
              <w:left w:val="nil"/>
              <w:bottom w:val="nil"/>
              <w:right w:val="nil"/>
            </w:tcBorders>
            <w:shd w:val="clear" w:color="auto" w:fill="auto"/>
            <w:noWrap/>
            <w:vAlign w:val="bottom"/>
            <w:hideMark/>
          </w:tcPr>
          <w:p w14:paraId="0433D99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4624645</w:t>
            </w:r>
          </w:p>
        </w:tc>
        <w:tc>
          <w:tcPr>
            <w:tcW w:w="1286" w:type="dxa"/>
            <w:tcBorders>
              <w:top w:val="nil"/>
              <w:left w:val="nil"/>
              <w:bottom w:val="nil"/>
              <w:right w:val="nil"/>
            </w:tcBorders>
            <w:shd w:val="clear" w:color="auto" w:fill="auto"/>
            <w:noWrap/>
            <w:vAlign w:val="bottom"/>
            <w:hideMark/>
          </w:tcPr>
          <w:p w14:paraId="542FEE3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4907798</w:t>
            </w:r>
          </w:p>
        </w:tc>
        <w:tc>
          <w:tcPr>
            <w:tcW w:w="1191" w:type="dxa"/>
            <w:tcBorders>
              <w:top w:val="nil"/>
              <w:left w:val="nil"/>
              <w:bottom w:val="nil"/>
              <w:right w:val="nil"/>
            </w:tcBorders>
            <w:shd w:val="clear" w:color="auto" w:fill="auto"/>
            <w:noWrap/>
            <w:vAlign w:val="bottom"/>
            <w:hideMark/>
          </w:tcPr>
          <w:p w14:paraId="4DD39FA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6280841</w:t>
            </w:r>
          </w:p>
        </w:tc>
        <w:tc>
          <w:tcPr>
            <w:tcW w:w="972" w:type="dxa"/>
            <w:tcBorders>
              <w:top w:val="nil"/>
              <w:left w:val="nil"/>
              <w:bottom w:val="nil"/>
              <w:right w:val="nil"/>
            </w:tcBorders>
            <w:shd w:val="clear" w:color="auto" w:fill="auto"/>
            <w:noWrap/>
            <w:vAlign w:val="bottom"/>
            <w:hideMark/>
          </w:tcPr>
          <w:p w14:paraId="4AA1CA4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6825888</w:t>
            </w:r>
          </w:p>
        </w:tc>
        <w:tc>
          <w:tcPr>
            <w:tcW w:w="1701" w:type="dxa"/>
            <w:tcBorders>
              <w:top w:val="nil"/>
              <w:left w:val="nil"/>
              <w:bottom w:val="nil"/>
              <w:right w:val="nil"/>
            </w:tcBorders>
            <w:shd w:val="clear" w:color="auto" w:fill="auto"/>
            <w:noWrap/>
            <w:vAlign w:val="bottom"/>
            <w:hideMark/>
          </w:tcPr>
          <w:p w14:paraId="3BD9C72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5173954</w:t>
            </w:r>
          </w:p>
        </w:tc>
      </w:tr>
      <w:tr w:rsidR="00DA0EE6" w:rsidRPr="00DA0EE6" w14:paraId="4278B9AE" w14:textId="77777777" w:rsidTr="00AC1A8B">
        <w:trPr>
          <w:trHeight w:val="290"/>
        </w:trPr>
        <w:tc>
          <w:tcPr>
            <w:tcW w:w="1266" w:type="dxa"/>
            <w:tcBorders>
              <w:top w:val="nil"/>
              <w:left w:val="nil"/>
              <w:bottom w:val="nil"/>
              <w:right w:val="nil"/>
            </w:tcBorders>
            <w:shd w:val="clear" w:color="auto" w:fill="auto"/>
            <w:noWrap/>
            <w:vAlign w:val="bottom"/>
            <w:hideMark/>
          </w:tcPr>
          <w:p w14:paraId="55EC7AD2"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latest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6C30B77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0.49</w:t>
            </w:r>
          </w:p>
        </w:tc>
        <w:tc>
          <w:tcPr>
            <w:tcW w:w="1050" w:type="dxa"/>
            <w:tcBorders>
              <w:top w:val="nil"/>
              <w:left w:val="nil"/>
              <w:bottom w:val="nil"/>
              <w:right w:val="nil"/>
            </w:tcBorders>
            <w:shd w:val="clear" w:color="auto" w:fill="auto"/>
            <w:noWrap/>
            <w:vAlign w:val="bottom"/>
            <w:hideMark/>
          </w:tcPr>
          <w:p w14:paraId="23FAF64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6DC77F9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19760C9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0.44</w:t>
            </w:r>
          </w:p>
        </w:tc>
        <w:tc>
          <w:tcPr>
            <w:tcW w:w="1191" w:type="dxa"/>
            <w:tcBorders>
              <w:top w:val="nil"/>
              <w:left w:val="nil"/>
              <w:bottom w:val="nil"/>
              <w:right w:val="nil"/>
            </w:tcBorders>
            <w:shd w:val="clear" w:color="auto" w:fill="auto"/>
            <w:noWrap/>
            <w:vAlign w:val="bottom"/>
            <w:hideMark/>
          </w:tcPr>
          <w:p w14:paraId="60CCA1F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0.54</w:t>
            </w:r>
          </w:p>
        </w:tc>
        <w:tc>
          <w:tcPr>
            <w:tcW w:w="972" w:type="dxa"/>
            <w:tcBorders>
              <w:top w:val="nil"/>
              <w:left w:val="nil"/>
              <w:bottom w:val="nil"/>
              <w:right w:val="nil"/>
            </w:tcBorders>
            <w:shd w:val="clear" w:color="auto" w:fill="auto"/>
            <w:noWrap/>
            <w:vAlign w:val="bottom"/>
            <w:hideMark/>
          </w:tcPr>
          <w:p w14:paraId="256F512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0.56</w:t>
            </w:r>
          </w:p>
        </w:tc>
        <w:tc>
          <w:tcPr>
            <w:tcW w:w="1701" w:type="dxa"/>
            <w:tcBorders>
              <w:top w:val="nil"/>
              <w:left w:val="nil"/>
              <w:bottom w:val="nil"/>
              <w:right w:val="nil"/>
            </w:tcBorders>
            <w:shd w:val="clear" w:color="auto" w:fill="auto"/>
            <w:noWrap/>
            <w:vAlign w:val="bottom"/>
            <w:hideMark/>
          </w:tcPr>
          <w:p w14:paraId="3A895B1A"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0.49</w:t>
            </w:r>
          </w:p>
        </w:tc>
      </w:tr>
      <w:tr w:rsidR="00DA0EE6" w:rsidRPr="00DA0EE6" w14:paraId="2D5F9F74" w14:textId="77777777" w:rsidTr="00AC1A8B">
        <w:trPr>
          <w:trHeight w:val="290"/>
        </w:trPr>
        <w:tc>
          <w:tcPr>
            <w:tcW w:w="1266" w:type="dxa"/>
            <w:tcBorders>
              <w:top w:val="nil"/>
              <w:left w:val="nil"/>
              <w:bottom w:val="nil"/>
              <w:right w:val="nil"/>
            </w:tcBorders>
            <w:shd w:val="clear" w:color="auto" w:fill="auto"/>
            <w:noWrap/>
            <w:vAlign w:val="bottom"/>
            <w:hideMark/>
          </w:tcPr>
          <w:p w14:paraId="2C781BC2"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latest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i/>
                <w:iCs/>
                <w:color w:val="000000"/>
                <w:sz w:val="18"/>
                <w:szCs w:val="18"/>
                <w:vertAlign w:val="subscript"/>
                <w:lang w:val="en-GB"/>
              </w:rPr>
              <w:t>F</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16CDA94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0.50</w:t>
            </w:r>
          </w:p>
        </w:tc>
        <w:tc>
          <w:tcPr>
            <w:tcW w:w="1050" w:type="dxa"/>
            <w:tcBorders>
              <w:top w:val="nil"/>
              <w:left w:val="nil"/>
              <w:bottom w:val="nil"/>
              <w:right w:val="nil"/>
            </w:tcBorders>
            <w:shd w:val="clear" w:color="auto" w:fill="auto"/>
            <w:noWrap/>
            <w:vAlign w:val="bottom"/>
            <w:hideMark/>
          </w:tcPr>
          <w:p w14:paraId="6AE3234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26CCBCD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1774AB5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0.45</w:t>
            </w:r>
          </w:p>
        </w:tc>
        <w:tc>
          <w:tcPr>
            <w:tcW w:w="1191" w:type="dxa"/>
            <w:tcBorders>
              <w:top w:val="nil"/>
              <w:left w:val="nil"/>
              <w:bottom w:val="nil"/>
              <w:right w:val="nil"/>
            </w:tcBorders>
            <w:shd w:val="clear" w:color="auto" w:fill="auto"/>
            <w:noWrap/>
            <w:vAlign w:val="bottom"/>
            <w:hideMark/>
          </w:tcPr>
          <w:p w14:paraId="71DD12E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0.55</w:t>
            </w:r>
          </w:p>
        </w:tc>
        <w:tc>
          <w:tcPr>
            <w:tcW w:w="972" w:type="dxa"/>
            <w:tcBorders>
              <w:top w:val="nil"/>
              <w:left w:val="nil"/>
              <w:bottom w:val="nil"/>
              <w:right w:val="nil"/>
            </w:tcBorders>
            <w:shd w:val="clear" w:color="auto" w:fill="auto"/>
            <w:noWrap/>
            <w:vAlign w:val="bottom"/>
            <w:hideMark/>
          </w:tcPr>
          <w:p w14:paraId="492ADE8A"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0.58</w:t>
            </w:r>
          </w:p>
        </w:tc>
        <w:tc>
          <w:tcPr>
            <w:tcW w:w="1701" w:type="dxa"/>
            <w:tcBorders>
              <w:top w:val="nil"/>
              <w:left w:val="nil"/>
              <w:bottom w:val="nil"/>
              <w:right w:val="nil"/>
            </w:tcBorders>
            <w:shd w:val="clear" w:color="auto" w:fill="auto"/>
            <w:noWrap/>
            <w:vAlign w:val="bottom"/>
            <w:hideMark/>
          </w:tcPr>
          <w:p w14:paraId="0CA83E0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0.49</w:t>
            </w:r>
          </w:p>
        </w:tc>
      </w:tr>
      <w:tr w:rsidR="00DA0EE6" w:rsidRPr="00DA0EE6" w14:paraId="4105E848" w14:textId="77777777" w:rsidTr="00AC1A8B">
        <w:trPr>
          <w:trHeight w:val="290"/>
        </w:trPr>
        <w:tc>
          <w:tcPr>
            <w:tcW w:w="1266" w:type="dxa"/>
            <w:tcBorders>
              <w:top w:val="nil"/>
              <w:left w:val="nil"/>
              <w:bottom w:val="nil"/>
              <w:right w:val="nil"/>
            </w:tcBorders>
            <w:shd w:val="clear" w:color="auto" w:fill="auto"/>
            <w:noWrap/>
            <w:vAlign w:val="bottom"/>
            <w:hideMark/>
          </w:tcPr>
          <w:p w14:paraId="4874FEFB"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latest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4B66B4DB"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2.49</w:t>
            </w:r>
          </w:p>
        </w:tc>
        <w:tc>
          <w:tcPr>
            <w:tcW w:w="1050" w:type="dxa"/>
            <w:tcBorders>
              <w:top w:val="nil"/>
              <w:left w:val="nil"/>
              <w:bottom w:val="nil"/>
              <w:right w:val="nil"/>
            </w:tcBorders>
            <w:shd w:val="clear" w:color="auto" w:fill="auto"/>
            <w:noWrap/>
            <w:vAlign w:val="bottom"/>
            <w:hideMark/>
          </w:tcPr>
          <w:p w14:paraId="3E350EF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2.48</w:t>
            </w:r>
          </w:p>
        </w:tc>
        <w:tc>
          <w:tcPr>
            <w:tcW w:w="945" w:type="dxa"/>
            <w:tcBorders>
              <w:top w:val="nil"/>
              <w:left w:val="nil"/>
              <w:bottom w:val="nil"/>
              <w:right w:val="nil"/>
            </w:tcBorders>
            <w:shd w:val="clear" w:color="auto" w:fill="auto"/>
            <w:noWrap/>
            <w:vAlign w:val="bottom"/>
            <w:hideMark/>
          </w:tcPr>
          <w:p w14:paraId="148B4E8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1.78</w:t>
            </w:r>
          </w:p>
        </w:tc>
        <w:tc>
          <w:tcPr>
            <w:tcW w:w="1286" w:type="dxa"/>
            <w:tcBorders>
              <w:top w:val="nil"/>
              <w:left w:val="nil"/>
              <w:bottom w:val="nil"/>
              <w:right w:val="nil"/>
            </w:tcBorders>
            <w:shd w:val="clear" w:color="auto" w:fill="auto"/>
            <w:noWrap/>
            <w:vAlign w:val="bottom"/>
            <w:hideMark/>
          </w:tcPr>
          <w:p w14:paraId="3F4F769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1.91</w:t>
            </w:r>
          </w:p>
        </w:tc>
        <w:tc>
          <w:tcPr>
            <w:tcW w:w="1191" w:type="dxa"/>
            <w:tcBorders>
              <w:top w:val="nil"/>
              <w:left w:val="nil"/>
              <w:bottom w:val="nil"/>
              <w:right w:val="nil"/>
            </w:tcBorders>
            <w:shd w:val="clear" w:color="auto" w:fill="auto"/>
            <w:noWrap/>
            <w:vAlign w:val="bottom"/>
            <w:hideMark/>
          </w:tcPr>
          <w:p w14:paraId="6686576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3.11</w:t>
            </w:r>
          </w:p>
        </w:tc>
        <w:tc>
          <w:tcPr>
            <w:tcW w:w="972" w:type="dxa"/>
            <w:tcBorders>
              <w:top w:val="nil"/>
              <w:left w:val="nil"/>
              <w:bottom w:val="nil"/>
              <w:right w:val="nil"/>
            </w:tcBorders>
            <w:shd w:val="clear" w:color="auto" w:fill="auto"/>
            <w:noWrap/>
            <w:vAlign w:val="bottom"/>
            <w:hideMark/>
          </w:tcPr>
          <w:p w14:paraId="4AD2DEC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3.16</w:t>
            </w:r>
          </w:p>
        </w:tc>
        <w:tc>
          <w:tcPr>
            <w:tcW w:w="1701" w:type="dxa"/>
            <w:tcBorders>
              <w:top w:val="nil"/>
              <w:left w:val="nil"/>
              <w:bottom w:val="nil"/>
              <w:right w:val="nil"/>
            </w:tcBorders>
            <w:shd w:val="clear" w:color="auto" w:fill="auto"/>
            <w:noWrap/>
            <w:vAlign w:val="bottom"/>
            <w:hideMark/>
          </w:tcPr>
          <w:p w14:paraId="16B88D0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2.44</w:t>
            </w:r>
          </w:p>
        </w:tc>
      </w:tr>
      <w:tr w:rsidR="00DA0EE6" w:rsidRPr="00DA0EE6" w14:paraId="4914819F" w14:textId="77777777" w:rsidTr="00AC1A8B">
        <w:trPr>
          <w:trHeight w:val="290"/>
        </w:trPr>
        <w:tc>
          <w:tcPr>
            <w:tcW w:w="1266" w:type="dxa"/>
            <w:tcBorders>
              <w:top w:val="nil"/>
              <w:left w:val="nil"/>
              <w:bottom w:val="nil"/>
              <w:right w:val="nil"/>
            </w:tcBorders>
            <w:shd w:val="clear" w:color="auto" w:fill="auto"/>
            <w:noWrap/>
            <w:vAlign w:val="bottom"/>
            <w:hideMark/>
          </w:tcPr>
          <w:p w14:paraId="1AACDD3D"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74B020C8"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1177733</w:t>
            </w:r>
          </w:p>
        </w:tc>
        <w:tc>
          <w:tcPr>
            <w:tcW w:w="1050" w:type="dxa"/>
            <w:tcBorders>
              <w:top w:val="nil"/>
              <w:left w:val="nil"/>
              <w:bottom w:val="nil"/>
              <w:right w:val="nil"/>
            </w:tcBorders>
            <w:shd w:val="clear" w:color="auto" w:fill="auto"/>
            <w:noWrap/>
            <w:vAlign w:val="bottom"/>
            <w:hideMark/>
          </w:tcPr>
          <w:p w14:paraId="23E69EA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1160500</w:t>
            </w:r>
          </w:p>
        </w:tc>
        <w:tc>
          <w:tcPr>
            <w:tcW w:w="945" w:type="dxa"/>
            <w:tcBorders>
              <w:top w:val="nil"/>
              <w:left w:val="nil"/>
              <w:bottom w:val="nil"/>
              <w:right w:val="nil"/>
            </w:tcBorders>
            <w:shd w:val="clear" w:color="auto" w:fill="auto"/>
            <w:noWrap/>
            <w:vAlign w:val="bottom"/>
            <w:hideMark/>
          </w:tcPr>
          <w:p w14:paraId="616057A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740400</w:t>
            </w:r>
          </w:p>
        </w:tc>
        <w:tc>
          <w:tcPr>
            <w:tcW w:w="1286" w:type="dxa"/>
            <w:tcBorders>
              <w:top w:val="nil"/>
              <w:left w:val="nil"/>
              <w:bottom w:val="nil"/>
              <w:right w:val="nil"/>
            </w:tcBorders>
            <w:shd w:val="clear" w:color="auto" w:fill="auto"/>
            <w:noWrap/>
            <w:vAlign w:val="bottom"/>
            <w:hideMark/>
          </w:tcPr>
          <w:p w14:paraId="480ED73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838260</w:t>
            </w:r>
          </w:p>
        </w:tc>
        <w:tc>
          <w:tcPr>
            <w:tcW w:w="1191" w:type="dxa"/>
            <w:tcBorders>
              <w:top w:val="nil"/>
              <w:left w:val="nil"/>
              <w:bottom w:val="nil"/>
              <w:right w:val="nil"/>
            </w:tcBorders>
            <w:shd w:val="clear" w:color="auto" w:fill="auto"/>
            <w:noWrap/>
            <w:vAlign w:val="bottom"/>
            <w:hideMark/>
          </w:tcPr>
          <w:p w14:paraId="7C62378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1538200</w:t>
            </w:r>
          </w:p>
        </w:tc>
        <w:tc>
          <w:tcPr>
            <w:tcW w:w="972" w:type="dxa"/>
            <w:tcBorders>
              <w:top w:val="nil"/>
              <w:left w:val="nil"/>
              <w:bottom w:val="nil"/>
              <w:right w:val="nil"/>
            </w:tcBorders>
            <w:shd w:val="clear" w:color="auto" w:fill="auto"/>
            <w:noWrap/>
            <w:vAlign w:val="bottom"/>
            <w:hideMark/>
          </w:tcPr>
          <w:p w14:paraId="5EF865B8"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1707000</w:t>
            </w:r>
          </w:p>
        </w:tc>
        <w:tc>
          <w:tcPr>
            <w:tcW w:w="1701" w:type="dxa"/>
            <w:tcBorders>
              <w:top w:val="nil"/>
              <w:left w:val="nil"/>
              <w:bottom w:val="nil"/>
              <w:right w:val="nil"/>
            </w:tcBorders>
            <w:shd w:val="clear" w:color="auto" w:fill="auto"/>
            <w:noWrap/>
            <w:vAlign w:val="bottom"/>
            <w:hideMark/>
          </w:tcPr>
          <w:p w14:paraId="7A632878"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1044000</w:t>
            </w:r>
          </w:p>
        </w:tc>
      </w:tr>
      <w:tr w:rsidR="00DA0EE6" w:rsidRPr="00DA0EE6" w14:paraId="1AFB7119" w14:textId="77777777" w:rsidTr="00AC1A8B">
        <w:trPr>
          <w:trHeight w:val="290"/>
        </w:trPr>
        <w:tc>
          <w:tcPr>
            <w:tcW w:w="1266" w:type="dxa"/>
            <w:tcBorders>
              <w:top w:val="nil"/>
              <w:left w:val="nil"/>
              <w:bottom w:val="nil"/>
              <w:right w:val="nil"/>
            </w:tcBorders>
            <w:shd w:val="clear" w:color="auto" w:fill="auto"/>
            <w:noWrap/>
            <w:vAlign w:val="bottom"/>
            <w:hideMark/>
          </w:tcPr>
          <w:p w14:paraId="32BD9EAF"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MSY</w:t>
            </w:r>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2F7D64F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0.20</w:t>
            </w:r>
          </w:p>
        </w:tc>
        <w:tc>
          <w:tcPr>
            <w:tcW w:w="1050" w:type="dxa"/>
            <w:tcBorders>
              <w:top w:val="nil"/>
              <w:left w:val="nil"/>
              <w:bottom w:val="nil"/>
              <w:right w:val="nil"/>
            </w:tcBorders>
            <w:shd w:val="clear" w:color="auto" w:fill="auto"/>
            <w:noWrap/>
            <w:vAlign w:val="bottom"/>
            <w:hideMark/>
          </w:tcPr>
          <w:p w14:paraId="7896EC7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0.20</w:t>
            </w:r>
          </w:p>
        </w:tc>
        <w:tc>
          <w:tcPr>
            <w:tcW w:w="945" w:type="dxa"/>
            <w:tcBorders>
              <w:top w:val="nil"/>
              <w:left w:val="nil"/>
              <w:bottom w:val="nil"/>
              <w:right w:val="nil"/>
            </w:tcBorders>
            <w:shd w:val="clear" w:color="auto" w:fill="auto"/>
            <w:noWrap/>
            <w:vAlign w:val="bottom"/>
            <w:hideMark/>
          </w:tcPr>
          <w:p w14:paraId="50FB36F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0.17</w:t>
            </w:r>
          </w:p>
        </w:tc>
        <w:tc>
          <w:tcPr>
            <w:tcW w:w="1286" w:type="dxa"/>
            <w:tcBorders>
              <w:top w:val="nil"/>
              <w:left w:val="nil"/>
              <w:bottom w:val="nil"/>
              <w:right w:val="nil"/>
            </w:tcBorders>
            <w:shd w:val="clear" w:color="auto" w:fill="auto"/>
            <w:noWrap/>
            <w:vAlign w:val="bottom"/>
            <w:hideMark/>
          </w:tcPr>
          <w:p w14:paraId="5077E35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2258688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0.23</w:t>
            </w:r>
          </w:p>
        </w:tc>
        <w:tc>
          <w:tcPr>
            <w:tcW w:w="972" w:type="dxa"/>
            <w:tcBorders>
              <w:top w:val="nil"/>
              <w:left w:val="nil"/>
              <w:bottom w:val="nil"/>
              <w:right w:val="nil"/>
            </w:tcBorders>
            <w:shd w:val="clear" w:color="auto" w:fill="auto"/>
            <w:noWrap/>
            <w:vAlign w:val="bottom"/>
            <w:hideMark/>
          </w:tcPr>
          <w:p w14:paraId="34ADDAA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0.24</w:t>
            </w:r>
          </w:p>
        </w:tc>
        <w:tc>
          <w:tcPr>
            <w:tcW w:w="1701" w:type="dxa"/>
            <w:tcBorders>
              <w:top w:val="nil"/>
              <w:left w:val="nil"/>
              <w:bottom w:val="nil"/>
              <w:right w:val="nil"/>
            </w:tcBorders>
            <w:shd w:val="clear" w:color="auto" w:fill="auto"/>
            <w:noWrap/>
            <w:vAlign w:val="bottom"/>
            <w:hideMark/>
          </w:tcPr>
          <w:p w14:paraId="0CAB196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0.20</w:t>
            </w:r>
          </w:p>
        </w:tc>
      </w:tr>
      <w:tr w:rsidR="00DA0EE6" w:rsidRPr="00DA0EE6" w14:paraId="4D374578" w14:textId="77777777" w:rsidTr="00AC1A8B">
        <w:trPr>
          <w:trHeight w:val="290"/>
        </w:trPr>
        <w:tc>
          <w:tcPr>
            <w:tcW w:w="1266" w:type="dxa"/>
            <w:tcBorders>
              <w:top w:val="nil"/>
              <w:left w:val="nil"/>
              <w:bottom w:val="nil"/>
              <w:right w:val="nil"/>
            </w:tcBorders>
            <w:shd w:val="clear" w:color="auto" w:fill="auto"/>
            <w:noWrap/>
            <w:vAlign w:val="bottom"/>
            <w:hideMark/>
          </w:tcPr>
          <w:p w14:paraId="3B2E8148"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MSY</w:t>
            </w:r>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i/>
                <w:iCs/>
                <w:color w:val="000000"/>
                <w:sz w:val="18"/>
                <w:szCs w:val="18"/>
                <w:vertAlign w:val="subscript"/>
                <w:lang w:val="en-GB"/>
              </w:rPr>
              <w:t>F</w:t>
            </w:r>
            <w:r w:rsidRPr="00DA0EE6">
              <w:rPr>
                <w:rFonts w:cstheme="minorHAnsi"/>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2227FA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0.21</w:t>
            </w:r>
          </w:p>
        </w:tc>
        <w:tc>
          <w:tcPr>
            <w:tcW w:w="1050" w:type="dxa"/>
            <w:tcBorders>
              <w:top w:val="nil"/>
              <w:left w:val="nil"/>
              <w:bottom w:val="nil"/>
              <w:right w:val="nil"/>
            </w:tcBorders>
            <w:shd w:val="clear" w:color="auto" w:fill="auto"/>
            <w:noWrap/>
            <w:vAlign w:val="bottom"/>
            <w:hideMark/>
          </w:tcPr>
          <w:p w14:paraId="0087CAA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0.21</w:t>
            </w:r>
          </w:p>
        </w:tc>
        <w:tc>
          <w:tcPr>
            <w:tcW w:w="945" w:type="dxa"/>
            <w:tcBorders>
              <w:top w:val="nil"/>
              <w:left w:val="nil"/>
              <w:bottom w:val="nil"/>
              <w:right w:val="nil"/>
            </w:tcBorders>
            <w:shd w:val="clear" w:color="auto" w:fill="auto"/>
            <w:noWrap/>
            <w:vAlign w:val="bottom"/>
            <w:hideMark/>
          </w:tcPr>
          <w:p w14:paraId="7475A60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0.16</w:t>
            </w:r>
          </w:p>
        </w:tc>
        <w:tc>
          <w:tcPr>
            <w:tcW w:w="1286" w:type="dxa"/>
            <w:tcBorders>
              <w:top w:val="nil"/>
              <w:left w:val="nil"/>
              <w:bottom w:val="nil"/>
              <w:right w:val="nil"/>
            </w:tcBorders>
            <w:shd w:val="clear" w:color="auto" w:fill="auto"/>
            <w:noWrap/>
            <w:vAlign w:val="bottom"/>
            <w:hideMark/>
          </w:tcPr>
          <w:p w14:paraId="60706BE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53E9521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0.24</w:t>
            </w:r>
          </w:p>
        </w:tc>
        <w:tc>
          <w:tcPr>
            <w:tcW w:w="972" w:type="dxa"/>
            <w:tcBorders>
              <w:top w:val="nil"/>
              <w:left w:val="nil"/>
              <w:bottom w:val="nil"/>
              <w:right w:val="nil"/>
            </w:tcBorders>
            <w:shd w:val="clear" w:color="auto" w:fill="auto"/>
            <w:noWrap/>
            <w:vAlign w:val="bottom"/>
            <w:hideMark/>
          </w:tcPr>
          <w:p w14:paraId="38FE306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0.25</w:t>
            </w:r>
          </w:p>
        </w:tc>
        <w:tc>
          <w:tcPr>
            <w:tcW w:w="1701" w:type="dxa"/>
            <w:tcBorders>
              <w:top w:val="nil"/>
              <w:left w:val="nil"/>
              <w:bottom w:val="nil"/>
              <w:right w:val="nil"/>
            </w:tcBorders>
            <w:shd w:val="clear" w:color="auto" w:fill="auto"/>
            <w:noWrap/>
            <w:vAlign w:val="bottom"/>
            <w:hideMark/>
          </w:tcPr>
          <w:p w14:paraId="0A933A7B"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0.20</w:t>
            </w:r>
          </w:p>
        </w:tc>
      </w:tr>
      <w:tr w:rsidR="00DA0EE6" w:rsidRPr="00DA0EE6" w14:paraId="4A49E96C" w14:textId="77777777" w:rsidTr="00AC1A8B">
        <w:trPr>
          <w:trHeight w:val="290"/>
        </w:trPr>
        <w:tc>
          <w:tcPr>
            <w:tcW w:w="1266" w:type="dxa"/>
            <w:tcBorders>
              <w:top w:val="nil"/>
              <w:left w:val="nil"/>
              <w:right w:val="nil"/>
            </w:tcBorders>
            <w:shd w:val="clear" w:color="auto" w:fill="auto"/>
            <w:noWrap/>
            <w:vAlign w:val="bottom"/>
            <w:hideMark/>
          </w:tcPr>
          <w:p w14:paraId="5C70DCB1"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recent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i/>
                <w:iCs/>
                <w:color w:val="000000"/>
                <w:sz w:val="18"/>
                <w:szCs w:val="18"/>
                <w:vertAlign w:val="subscript"/>
                <w:lang w:val="en-GB"/>
              </w:rPr>
              <w:t>F</w:t>
            </w:r>
            <w:r w:rsidRPr="00DA0EE6">
              <w:rPr>
                <w:rFonts w:cstheme="minorHAnsi"/>
                <w:b/>
                <w:color w:val="000000"/>
                <w:sz w:val="18"/>
                <w:szCs w:val="18"/>
                <w:vertAlign w:val="subscript"/>
                <w:lang w:val="en-GB"/>
              </w:rPr>
              <w:t>=0</w:t>
            </w:r>
          </w:p>
        </w:tc>
        <w:tc>
          <w:tcPr>
            <w:tcW w:w="945" w:type="dxa"/>
            <w:tcBorders>
              <w:top w:val="nil"/>
              <w:left w:val="nil"/>
              <w:right w:val="nil"/>
            </w:tcBorders>
            <w:shd w:val="clear" w:color="auto" w:fill="auto"/>
            <w:noWrap/>
            <w:vAlign w:val="bottom"/>
            <w:hideMark/>
          </w:tcPr>
          <w:p w14:paraId="70CF52C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0.47</w:t>
            </w:r>
          </w:p>
        </w:tc>
        <w:tc>
          <w:tcPr>
            <w:tcW w:w="1050" w:type="dxa"/>
            <w:tcBorders>
              <w:top w:val="nil"/>
              <w:left w:val="nil"/>
              <w:right w:val="nil"/>
            </w:tcBorders>
            <w:shd w:val="clear" w:color="auto" w:fill="auto"/>
            <w:noWrap/>
            <w:vAlign w:val="bottom"/>
            <w:hideMark/>
          </w:tcPr>
          <w:p w14:paraId="5CA8A73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0.47</w:t>
            </w:r>
          </w:p>
        </w:tc>
        <w:tc>
          <w:tcPr>
            <w:tcW w:w="945" w:type="dxa"/>
            <w:tcBorders>
              <w:top w:val="nil"/>
              <w:left w:val="nil"/>
              <w:right w:val="nil"/>
            </w:tcBorders>
            <w:shd w:val="clear" w:color="auto" w:fill="auto"/>
            <w:noWrap/>
            <w:vAlign w:val="bottom"/>
            <w:hideMark/>
          </w:tcPr>
          <w:p w14:paraId="4D24B97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0.38</w:t>
            </w:r>
          </w:p>
        </w:tc>
        <w:tc>
          <w:tcPr>
            <w:tcW w:w="1286" w:type="dxa"/>
            <w:tcBorders>
              <w:top w:val="nil"/>
              <w:left w:val="nil"/>
              <w:right w:val="nil"/>
            </w:tcBorders>
            <w:shd w:val="clear" w:color="auto" w:fill="auto"/>
            <w:noWrap/>
            <w:vAlign w:val="bottom"/>
            <w:hideMark/>
          </w:tcPr>
          <w:p w14:paraId="14EC9A3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0.42</w:t>
            </w:r>
          </w:p>
        </w:tc>
        <w:tc>
          <w:tcPr>
            <w:tcW w:w="1191" w:type="dxa"/>
            <w:tcBorders>
              <w:top w:val="nil"/>
              <w:left w:val="nil"/>
              <w:right w:val="nil"/>
            </w:tcBorders>
            <w:shd w:val="clear" w:color="auto" w:fill="auto"/>
            <w:noWrap/>
            <w:vAlign w:val="bottom"/>
            <w:hideMark/>
          </w:tcPr>
          <w:p w14:paraId="53E53DD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0.52</w:t>
            </w:r>
          </w:p>
        </w:tc>
        <w:tc>
          <w:tcPr>
            <w:tcW w:w="972" w:type="dxa"/>
            <w:tcBorders>
              <w:top w:val="nil"/>
              <w:left w:val="nil"/>
              <w:right w:val="nil"/>
            </w:tcBorders>
            <w:shd w:val="clear" w:color="auto" w:fill="auto"/>
            <w:noWrap/>
            <w:vAlign w:val="bottom"/>
            <w:hideMark/>
          </w:tcPr>
          <w:p w14:paraId="1C81753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0.54</w:t>
            </w:r>
          </w:p>
        </w:tc>
        <w:tc>
          <w:tcPr>
            <w:tcW w:w="1701" w:type="dxa"/>
            <w:tcBorders>
              <w:top w:val="nil"/>
              <w:left w:val="nil"/>
              <w:right w:val="nil"/>
            </w:tcBorders>
            <w:shd w:val="clear" w:color="auto" w:fill="auto"/>
            <w:noWrap/>
            <w:vAlign w:val="bottom"/>
            <w:hideMark/>
          </w:tcPr>
          <w:p w14:paraId="2D7A5CE1"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0.46</w:t>
            </w:r>
          </w:p>
        </w:tc>
      </w:tr>
      <w:tr w:rsidR="00DA0EE6" w:rsidRPr="00DA0EE6" w14:paraId="0C340D5F" w14:textId="77777777" w:rsidTr="00AC1A8B">
        <w:trPr>
          <w:trHeight w:val="290"/>
        </w:trPr>
        <w:tc>
          <w:tcPr>
            <w:tcW w:w="1266" w:type="dxa"/>
            <w:tcBorders>
              <w:top w:val="nil"/>
              <w:left w:val="nil"/>
              <w:bottom w:val="nil"/>
              <w:right w:val="nil"/>
            </w:tcBorders>
            <w:shd w:val="clear" w:color="auto" w:fill="auto"/>
            <w:noWrap/>
            <w:vAlign w:val="bottom"/>
            <w:hideMark/>
          </w:tcPr>
          <w:p w14:paraId="108CAB3B"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recent</w:t>
            </w:r>
            <w:proofErr w:type="spellEnd"/>
            <w:r w:rsidRPr="00DA0EE6">
              <w:rPr>
                <w:rFonts w:cstheme="minorHAnsi"/>
                <w:b/>
                <w:color w:val="000000"/>
                <w:sz w:val="18"/>
                <w:szCs w:val="18"/>
                <w:lang w:val="en-GB"/>
              </w:rPr>
              <w:t>/</w:t>
            </w:r>
            <w:r w:rsidRPr="00DA0EE6">
              <w:rPr>
                <w:rFonts w:cstheme="minorHAnsi"/>
                <w:b/>
                <w:i/>
                <w:iCs/>
                <w:color w:val="000000"/>
                <w:sz w:val="18"/>
                <w:szCs w:val="18"/>
                <w:lang w:val="en-GB"/>
              </w:rPr>
              <w:t>SB</w:t>
            </w:r>
            <w:r w:rsidRPr="00DA0EE6">
              <w:rPr>
                <w:rFonts w:cstheme="minorHAnsi"/>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7F91A57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2.31</w:t>
            </w:r>
          </w:p>
        </w:tc>
        <w:tc>
          <w:tcPr>
            <w:tcW w:w="1050" w:type="dxa"/>
            <w:tcBorders>
              <w:top w:val="nil"/>
              <w:left w:val="nil"/>
              <w:bottom w:val="nil"/>
              <w:right w:val="nil"/>
            </w:tcBorders>
            <w:shd w:val="clear" w:color="auto" w:fill="auto"/>
            <w:noWrap/>
            <w:vAlign w:val="bottom"/>
            <w:hideMark/>
          </w:tcPr>
          <w:p w14:paraId="118688F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2.30</w:t>
            </w:r>
          </w:p>
        </w:tc>
        <w:tc>
          <w:tcPr>
            <w:tcW w:w="945" w:type="dxa"/>
            <w:tcBorders>
              <w:top w:val="nil"/>
              <w:left w:val="nil"/>
              <w:bottom w:val="nil"/>
              <w:right w:val="nil"/>
            </w:tcBorders>
            <w:shd w:val="clear" w:color="auto" w:fill="auto"/>
            <w:noWrap/>
            <w:vAlign w:val="bottom"/>
            <w:hideMark/>
          </w:tcPr>
          <w:p w14:paraId="7140925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1.68</w:t>
            </w:r>
          </w:p>
        </w:tc>
        <w:tc>
          <w:tcPr>
            <w:tcW w:w="1286" w:type="dxa"/>
            <w:tcBorders>
              <w:top w:val="nil"/>
              <w:left w:val="nil"/>
              <w:bottom w:val="nil"/>
              <w:right w:val="nil"/>
            </w:tcBorders>
            <w:shd w:val="clear" w:color="auto" w:fill="auto"/>
            <w:noWrap/>
            <w:vAlign w:val="bottom"/>
            <w:hideMark/>
          </w:tcPr>
          <w:p w14:paraId="553AF90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1.77</w:t>
            </w:r>
          </w:p>
        </w:tc>
        <w:tc>
          <w:tcPr>
            <w:tcW w:w="1191" w:type="dxa"/>
            <w:tcBorders>
              <w:top w:val="nil"/>
              <w:left w:val="nil"/>
              <w:bottom w:val="nil"/>
              <w:right w:val="nil"/>
            </w:tcBorders>
            <w:shd w:val="clear" w:color="auto" w:fill="auto"/>
            <w:noWrap/>
            <w:vAlign w:val="bottom"/>
            <w:hideMark/>
          </w:tcPr>
          <w:p w14:paraId="52718C3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2.89</w:t>
            </w:r>
          </w:p>
        </w:tc>
        <w:tc>
          <w:tcPr>
            <w:tcW w:w="972" w:type="dxa"/>
            <w:tcBorders>
              <w:top w:val="nil"/>
              <w:left w:val="nil"/>
              <w:bottom w:val="nil"/>
              <w:right w:val="nil"/>
            </w:tcBorders>
            <w:shd w:val="clear" w:color="auto" w:fill="auto"/>
            <w:noWrap/>
            <w:vAlign w:val="bottom"/>
            <w:hideMark/>
          </w:tcPr>
          <w:p w14:paraId="691C022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2.94</w:t>
            </w:r>
          </w:p>
        </w:tc>
        <w:tc>
          <w:tcPr>
            <w:tcW w:w="1701" w:type="dxa"/>
            <w:tcBorders>
              <w:top w:val="nil"/>
              <w:left w:val="nil"/>
              <w:bottom w:val="nil"/>
              <w:right w:val="nil"/>
            </w:tcBorders>
            <w:shd w:val="clear" w:color="auto" w:fill="auto"/>
            <w:noWrap/>
            <w:vAlign w:val="bottom"/>
            <w:hideMark/>
          </w:tcPr>
          <w:p w14:paraId="728C5209"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2.27</w:t>
            </w:r>
          </w:p>
        </w:tc>
      </w:tr>
      <w:tr w:rsidR="00DA0EE6" w:rsidRPr="00DA0EE6" w14:paraId="5B9A2EB7" w14:textId="77777777" w:rsidTr="00AC1A8B">
        <w:trPr>
          <w:trHeight w:val="290"/>
        </w:trPr>
        <w:tc>
          <w:tcPr>
            <w:tcW w:w="1266" w:type="dxa"/>
            <w:tcBorders>
              <w:top w:val="nil"/>
              <w:left w:val="nil"/>
              <w:bottom w:val="single" w:sz="4" w:space="0" w:color="auto"/>
              <w:right w:val="nil"/>
            </w:tcBorders>
            <w:shd w:val="clear" w:color="auto" w:fill="auto"/>
            <w:noWrap/>
            <w:vAlign w:val="bottom"/>
            <w:hideMark/>
          </w:tcPr>
          <w:p w14:paraId="43F1B0C8" w14:textId="77777777" w:rsidR="00DA0EE6" w:rsidRPr="00DA0EE6" w:rsidRDefault="00DA0EE6" w:rsidP="00AC1A8B">
            <w:pPr>
              <w:widowControl w:val="0"/>
              <w:adjustRightInd w:val="0"/>
              <w:snapToGrid w:val="0"/>
              <w:rPr>
                <w:rFonts w:cstheme="minorHAnsi"/>
                <w:b/>
                <w:color w:val="000000"/>
                <w:sz w:val="18"/>
                <w:szCs w:val="18"/>
                <w:lang w:val="en-GB"/>
              </w:rPr>
            </w:pPr>
            <w:proofErr w:type="spellStart"/>
            <w:r w:rsidRPr="00DA0EE6">
              <w:rPr>
                <w:rFonts w:cstheme="minorHAnsi"/>
                <w:b/>
                <w:i/>
                <w:iCs/>
                <w:color w:val="000000"/>
                <w:sz w:val="18"/>
                <w:szCs w:val="18"/>
                <w:lang w:val="en-GB"/>
              </w:rPr>
              <w:t>Y</w:t>
            </w:r>
            <w:r w:rsidRPr="00DA0EE6">
              <w:rPr>
                <w:rFonts w:cstheme="minorHAnsi"/>
                <w:b/>
                <w:i/>
                <w:iCs/>
                <w:color w:val="000000"/>
                <w:sz w:val="18"/>
                <w:szCs w:val="18"/>
                <w:vertAlign w:val="subscript"/>
                <w:lang w:val="en-GB"/>
              </w:rPr>
              <w:t>F</w:t>
            </w:r>
            <w:r w:rsidRPr="00DA0EE6">
              <w:rPr>
                <w:rFonts w:cstheme="minorHAnsi"/>
                <w:b/>
                <w:color w:val="000000"/>
                <w:sz w:val="18"/>
                <w:szCs w:val="18"/>
                <w:vertAlign w:val="subscript"/>
                <w:lang w:val="en-GB"/>
              </w:rPr>
              <w:t>recent</w:t>
            </w:r>
            <w:proofErr w:type="spellEnd"/>
          </w:p>
        </w:tc>
        <w:tc>
          <w:tcPr>
            <w:tcW w:w="945" w:type="dxa"/>
            <w:tcBorders>
              <w:top w:val="nil"/>
              <w:left w:val="nil"/>
              <w:bottom w:val="single" w:sz="4" w:space="0" w:color="auto"/>
              <w:right w:val="nil"/>
            </w:tcBorders>
            <w:shd w:val="clear" w:color="auto" w:fill="auto"/>
            <w:noWrap/>
            <w:vAlign w:val="bottom"/>
            <w:hideMark/>
          </w:tcPr>
          <w:p w14:paraId="2A17B62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157188</w:t>
            </w:r>
          </w:p>
        </w:tc>
        <w:tc>
          <w:tcPr>
            <w:tcW w:w="1050" w:type="dxa"/>
            <w:tcBorders>
              <w:top w:val="nil"/>
              <w:left w:val="nil"/>
              <w:bottom w:val="single" w:sz="4" w:space="0" w:color="auto"/>
              <w:right w:val="nil"/>
            </w:tcBorders>
            <w:shd w:val="clear" w:color="auto" w:fill="auto"/>
            <w:noWrap/>
            <w:vAlign w:val="bottom"/>
            <w:hideMark/>
          </w:tcPr>
          <w:p w14:paraId="6AB3092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155300</w:t>
            </w:r>
          </w:p>
        </w:tc>
        <w:tc>
          <w:tcPr>
            <w:tcW w:w="945" w:type="dxa"/>
            <w:tcBorders>
              <w:top w:val="nil"/>
              <w:left w:val="nil"/>
              <w:bottom w:val="single" w:sz="4" w:space="0" w:color="auto"/>
              <w:right w:val="nil"/>
            </w:tcBorders>
            <w:shd w:val="clear" w:color="auto" w:fill="auto"/>
            <w:noWrap/>
            <w:vAlign w:val="bottom"/>
            <w:hideMark/>
          </w:tcPr>
          <w:p w14:paraId="7172C5A0"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141400</w:t>
            </w:r>
          </w:p>
        </w:tc>
        <w:tc>
          <w:tcPr>
            <w:tcW w:w="1286" w:type="dxa"/>
            <w:tcBorders>
              <w:top w:val="nil"/>
              <w:left w:val="nil"/>
              <w:bottom w:val="single" w:sz="4" w:space="0" w:color="auto"/>
              <w:right w:val="nil"/>
            </w:tcBorders>
            <w:shd w:val="clear" w:color="auto" w:fill="auto"/>
            <w:noWrap/>
            <w:vAlign w:val="bottom"/>
            <w:hideMark/>
          </w:tcPr>
          <w:p w14:paraId="5B148E9F"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145150</w:t>
            </w:r>
          </w:p>
        </w:tc>
        <w:tc>
          <w:tcPr>
            <w:tcW w:w="1191" w:type="dxa"/>
            <w:tcBorders>
              <w:top w:val="nil"/>
              <w:left w:val="nil"/>
              <w:bottom w:val="single" w:sz="4" w:space="0" w:color="auto"/>
              <w:right w:val="nil"/>
            </w:tcBorders>
            <w:shd w:val="clear" w:color="auto" w:fill="auto"/>
            <w:noWrap/>
            <w:vAlign w:val="bottom"/>
            <w:hideMark/>
          </w:tcPr>
          <w:p w14:paraId="3EB06193"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172270</w:t>
            </w:r>
          </w:p>
        </w:tc>
        <w:tc>
          <w:tcPr>
            <w:tcW w:w="972" w:type="dxa"/>
            <w:tcBorders>
              <w:top w:val="nil"/>
              <w:left w:val="nil"/>
              <w:bottom w:val="single" w:sz="4" w:space="0" w:color="auto"/>
              <w:right w:val="nil"/>
            </w:tcBorders>
            <w:shd w:val="clear" w:color="auto" w:fill="auto"/>
            <w:noWrap/>
            <w:vAlign w:val="bottom"/>
            <w:hideMark/>
          </w:tcPr>
          <w:p w14:paraId="0F9C08E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173300</w:t>
            </w:r>
          </w:p>
        </w:tc>
        <w:tc>
          <w:tcPr>
            <w:tcW w:w="1701" w:type="dxa"/>
            <w:tcBorders>
              <w:top w:val="nil"/>
              <w:left w:val="nil"/>
              <w:bottom w:val="single" w:sz="4" w:space="0" w:color="auto"/>
              <w:right w:val="nil"/>
            </w:tcBorders>
            <w:shd w:val="clear" w:color="auto" w:fill="auto"/>
            <w:noWrap/>
            <w:vAlign w:val="bottom"/>
            <w:hideMark/>
          </w:tcPr>
          <w:p w14:paraId="700DC70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152500</w:t>
            </w:r>
          </w:p>
        </w:tc>
      </w:tr>
      <w:tr w:rsidR="00DA0EE6" w:rsidRPr="00DA0EE6" w14:paraId="04A42D28" w14:textId="77777777" w:rsidTr="00AC1A8B">
        <w:trPr>
          <w:trHeight w:val="290"/>
        </w:trPr>
        <w:tc>
          <w:tcPr>
            <w:tcW w:w="9356" w:type="dxa"/>
            <w:gridSpan w:val="8"/>
            <w:tcBorders>
              <w:top w:val="single" w:sz="4" w:space="0" w:color="auto"/>
              <w:left w:val="nil"/>
              <w:bottom w:val="nil"/>
              <w:right w:val="nil"/>
            </w:tcBorders>
            <w:shd w:val="clear" w:color="auto" w:fill="auto"/>
            <w:noWrap/>
            <w:vAlign w:val="bottom"/>
            <w:hideMark/>
          </w:tcPr>
          <w:p w14:paraId="44FEF906" w14:textId="77777777" w:rsidR="00DA0EE6" w:rsidRPr="00DA0EE6" w:rsidRDefault="00DA0EE6" w:rsidP="00AC1A8B">
            <w:pPr>
              <w:widowControl w:val="0"/>
              <w:adjustRightInd w:val="0"/>
              <w:snapToGrid w:val="0"/>
              <w:rPr>
                <w:rFonts w:cstheme="minorHAnsi"/>
                <w:lang w:val="en-GB"/>
              </w:rPr>
            </w:pPr>
            <w:r w:rsidRPr="00DA0EE6">
              <w:rPr>
                <w:rFonts w:cstheme="minorHAnsi"/>
                <w:color w:val="000000"/>
                <w:lang w:val="en-GB"/>
              </w:rPr>
              <w:t>Including estimation uncertainty:</w:t>
            </w:r>
          </w:p>
        </w:tc>
      </w:tr>
      <w:tr w:rsidR="00DA0EE6" w:rsidRPr="00DA0EE6" w14:paraId="64975259" w14:textId="77777777" w:rsidTr="00AC1A8B">
        <w:trPr>
          <w:trHeight w:val="290"/>
        </w:trPr>
        <w:tc>
          <w:tcPr>
            <w:tcW w:w="1266" w:type="dxa"/>
            <w:tcBorders>
              <w:top w:val="single" w:sz="4" w:space="0" w:color="auto"/>
              <w:left w:val="nil"/>
              <w:bottom w:val="single" w:sz="4" w:space="0" w:color="auto"/>
              <w:right w:val="nil"/>
            </w:tcBorders>
            <w:shd w:val="clear" w:color="auto" w:fill="auto"/>
            <w:noWrap/>
            <w:vAlign w:val="bottom"/>
            <w:hideMark/>
          </w:tcPr>
          <w:p w14:paraId="29650012" w14:textId="77777777" w:rsidR="00DA0EE6" w:rsidRPr="00DA0EE6" w:rsidRDefault="00DA0EE6" w:rsidP="00AC1A8B">
            <w:pPr>
              <w:widowControl w:val="0"/>
              <w:adjustRightInd w:val="0"/>
              <w:snapToGrid w:val="0"/>
              <w:jc w:val="right"/>
              <w:rPr>
                <w:rFonts w:cstheme="minorHAnsi"/>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22C07048"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4BA04768"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5EE04509"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5CC54575"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17067585"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6DD724E3" w14:textId="77777777" w:rsidR="00DA0EE6" w:rsidRPr="00DA0EE6" w:rsidRDefault="00DA0EE6" w:rsidP="00AC1A8B">
            <w:pPr>
              <w:widowControl w:val="0"/>
              <w:adjustRightInd w:val="0"/>
              <w:snapToGrid w:val="0"/>
              <w:jc w:val="right"/>
              <w:rPr>
                <w:rFonts w:cstheme="minorHAnsi"/>
                <w:b/>
                <w:color w:val="000000"/>
                <w:sz w:val="18"/>
                <w:szCs w:val="18"/>
                <w:lang w:val="en-GB"/>
              </w:rPr>
            </w:pPr>
            <w:r w:rsidRPr="00DA0EE6">
              <w:rPr>
                <w:rFonts w:cstheme="minorHAnsi"/>
                <w:b/>
                <w:color w:val="000000"/>
                <w:sz w:val="18"/>
                <w:szCs w:val="18"/>
                <w:lang w:val="en-GB"/>
              </w:rPr>
              <w:t>max</w:t>
            </w:r>
          </w:p>
        </w:tc>
        <w:tc>
          <w:tcPr>
            <w:tcW w:w="1701" w:type="dxa"/>
            <w:tcBorders>
              <w:top w:val="nil"/>
              <w:left w:val="nil"/>
              <w:bottom w:val="nil"/>
              <w:right w:val="nil"/>
            </w:tcBorders>
            <w:shd w:val="clear" w:color="auto" w:fill="auto"/>
            <w:noWrap/>
            <w:vAlign w:val="bottom"/>
            <w:hideMark/>
          </w:tcPr>
          <w:p w14:paraId="71AF13CB" w14:textId="77777777" w:rsidR="00DA0EE6" w:rsidRPr="00DA0EE6" w:rsidRDefault="00DA0EE6" w:rsidP="00AC1A8B">
            <w:pPr>
              <w:widowControl w:val="0"/>
              <w:adjustRightInd w:val="0"/>
              <w:snapToGrid w:val="0"/>
              <w:jc w:val="right"/>
              <w:rPr>
                <w:rFonts w:cstheme="minorHAnsi"/>
                <w:color w:val="000000"/>
                <w:sz w:val="18"/>
                <w:szCs w:val="18"/>
                <w:lang w:val="en-GB"/>
              </w:rPr>
            </w:pPr>
          </w:p>
        </w:tc>
      </w:tr>
      <w:tr w:rsidR="00DA0EE6" w:rsidRPr="00DA0EE6" w14:paraId="5CFE731A" w14:textId="77777777" w:rsidTr="00AC1A8B">
        <w:trPr>
          <w:trHeight w:val="290"/>
        </w:trPr>
        <w:tc>
          <w:tcPr>
            <w:tcW w:w="1266" w:type="dxa"/>
            <w:tcBorders>
              <w:top w:val="single" w:sz="4" w:space="0" w:color="auto"/>
              <w:left w:val="nil"/>
              <w:bottom w:val="nil"/>
              <w:right w:val="nil"/>
            </w:tcBorders>
            <w:shd w:val="clear" w:color="auto" w:fill="auto"/>
            <w:noWrap/>
            <w:vAlign w:val="bottom"/>
            <w:hideMark/>
          </w:tcPr>
          <w:p w14:paraId="1C3F0710" w14:textId="77777777" w:rsidR="00DA0EE6" w:rsidRPr="00DA0EE6" w:rsidRDefault="00DA0EE6" w:rsidP="00AC1A8B">
            <w:pPr>
              <w:widowControl w:val="0"/>
              <w:adjustRightInd w:val="0"/>
              <w:snapToGrid w:val="0"/>
              <w:rPr>
                <w:rFonts w:cstheme="minorHAnsi"/>
                <w:b/>
                <w:bCs/>
                <w:color w:val="000000"/>
                <w:sz w:val="18"/>
                <w:szCs w:val="18"/>
                <w:lang w:val="en-GB"/>
              </w:rPr>
            </w:pPr>
            <w:proofErr w:type="spellStart"/>
            <w:r w:rsidRPr="00DA0EE6">
              <w:rPr>
                <w:rFonts w:cstheme="minorHAnsi"/>
                <w:b/>
                <w:bCs/>
                <w:i/>
                <w:iCs/>
                <w:color w:val="000000"/>
                <w:sz w:val="18"/>
                <w:szCs w:val="18"/>
                <w:lang w:val="en-GB"/>
              </w:rPr>
              <w:t>SB</w:t>
            </w:r>
            <w:r w:rsidRPr="00DA0EE6">
              <w:rPr>
                <w:rFonts w:cstheme="minorHAnsi"/>
                <w:b/>
                <w:bCs/>
                <w:color w:val="000000"/>
                <w:sz w:val="18"/>
                <w:szCs w:val="18"/>
                <w:vertAlign w:val="subscript"/>
                <w:lang w:val="en-GB"/>
              </w:rPr>
              <w:t>recent</w:t>
            </w:r>
            <w:proofErr w:type="spellEnd"/>
            <w:r w:rsidRPr="00DA0EE6">
              <w:rPr>
                <w:rFonts w:cstheme="minorHAnsi"/>
                <w:b/>
                <w:bCs/>
                <w:color w:val="000000"/>
                <w:sz w:val="18"/>
                <w:szCs w:val="18"/>
                <w:lang w:val="en-GB"/>
              </w:rPr>
              <w:t>/</w:t>
            </w:r>
            <w:r w:rsidRPr="00DA0EE6">
              <w:rPr>
                <w:rFonts w:cstheme="minorHAnsi"/>
                <w:b/>
                <w:bCs/>
                <w:i/>
                <w:iCs/>
                <w:color w:val="000000"/>
                <w:sz w:val="18"/>
                <w:szCs w:val="18"/>
                <w:lang w:val="en-GB"/>
              </w:rPr>
              <w:t>SB</w:t>
            </w:r>
            <w:r w:rsidRPr="00DA0EE6">
              <w:rPr>
                <w:rFonts w:cstheme="minorHAnsi"/>
                <w:b/>
                <w:bCs/>
                <w:i/>
                <w:iCs/>
                <w:color w:val="000000"/>
                <w:sz w:val="18"/>
                <w:szCs w:val="18"/>
                <w:vertAlign w:val="subscript"/>
                <w:lang w:val="en-GB"/>
              </w:rPr>
              <w:t>F</w:t>
            </w:r>
            <w:r w:rsidRPr="00DA0EE6">
              <w:rPr>
                <w:rFonts w:cstheme="minorHAnsi"/>
                <w:b/>
                <w:bCs/>
                <w:color w:val="000000"/>
                <w:sz w:val="18"/>
                <w:szCs w:val="18"/>
                <w:vertAlign w:val="subscript"/>
                <w:lang w:val="en-GB"/>
              </w:rPr>
              <w:t>=0</w:t>
            </w:r>
          </w:p>
        </w:tc>
        <w:tc>
          <w:tcPr>
            <w:tcW w:w="945" w:type="dxa"/>
            <w:tcBorders>
              <w:top w:val="single" w:sz="4" w:space="0" w:color="auto"/>
              <w:left w:val="nil"/>
              <w:bottom w:val="nil"/>
              <w:right w:val="nil"/>
            </w:tcBorders>
            <w:shd w:val="clear" w:color="auto" w:fill="auto"/>
            <w:noWrap/>
            <w:vAlign w:val="bottom"/>
            <w:hideMark/>
          </w:tcPr>
          <w:p w14:paraId="38FEA56A"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0.47</w:t>
            </w:r>
          </w:p>
        </w:tc>
        <w:tc>
          <w:tcPr>
            <w:tcW w:w="1050" w:type="dxa"/>
            <w:tcBorders>
              <w:top w:val="single" w:sz="4" w:space="0" w:color="auto"/>
              <w:left w:val="nil"/>
              <w:bottom w:val="nil"/>
              <w:right w:val="nil"/>
            </w:tcBorders>
            <w:shd w:val="clear" w:color="auto" w:fill="auto"/>
            <w:noWrap/>
            <w:vAlign w:val="bottom"/>
            <w:hideMark/>
          </w:tcPr>
          <w:p w14:paraId="1C1C9A9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0.47</w:t>
            </w:r>
          </w:p>
        </w:tc>
        <w:tc>
          <w:tcPr>
            <w:tcW w:w="945" w:type="dxa"/>
            <w:tcBorders>
              <w:top w:val="single" w:sz="4" w:space="0" w:color="auto"/>
              <w:left w:val="nil"/>
              <w:bottom w:val="nil"/>
              <w:right w:val="nil"/>
            </w:tcBorders>
            <w:shd w:val="clear" w:color="auto" w:fill="auto"/>
            <w:noWrap/>
            <w:vAlign w:val="bottom"/>
            <w:hideMark/>
          </w:tcPr>
          <w:p w14:paraId="10646157"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0.36</w:t>
            </w:r>
          </w:p>
        </w:tc>
        <w:tc>
          <w:tcPr>
            <w:tcW w:w="1286" w:type="dxa"/>
            <w:tcBorders>
              <w:top w:val="single" w:sz="4" w:space="0" w:color="auto"/>
              <w:left w:val="nil"/>
              <w:bottom w:val="nil"/>
              <w:right w:val="nil"/>
            </w:tcBorders>
            <w:shd w:val="clear" w:color="auto" w:fill="auto"/>
            <w:noWrap/>
            <w:vAlign w:val="bottom"/>
            <w:hideMark/>
          </w:tcPr>
          <w:p w14:paraId="75F6F41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0.42</w:t>
            </w:r>
          </w:p>
        </w:tc>
        <w:tc>
          <w:tcPr>
            <w:tcW w:w="1191" w:type="dxa"/>
            <w:tcBorders>
              <w:top w:val="single" w:sz="4" w:space="0" w:color="auto"/>
              <w:left w:val="nil"/>
              <w:bottom w:val="nil"/>
              <w:right w:val="nil"/>
            </w:tcBorders>
            <w:shd w:val="clear" w:color="auto" w:fill="auto"/>
            <w:noWrap/>
            <w:vAlign w:val="bottom"/>
            <w:hideMark/>
          </w:tcPr>
          <w:p w14:paraId="1DFED3A6"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0.52</w:t>
            </w:r>
          </w:p>
        </w:tc>
        <w:tc>
          <w:tcPr>
            <w:tcW w:w="972" w:type="dxa"/>
            <w:tcBorders>
              <w:top w:val="single" w:sz="4" w:space="0" w:color="auto"/>
              <w:left w:val="nil"/>
              <w:bottom w:val="nil"/>
              <w:right w:val="nil"/>
            </w:tcBorders>
            <w:shd w:val="clear" w:color="auto" w:fill="auto"/>
            <w:noWrap/>
            <w:vAlign w:val="bottom"/>
            <w:hideMark/>
          </w:tcPr>
          <w:p w14:paraId="540A514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0.59</w:t>
            </w:r>
          </w:p>
        </w:tc>
        <w:tc>
          <w:tcPr>
            <w:tcW w:w="1701" w:type="dxa"/>
            <w:tcBorders>
              <w:top w:val="nil"/>
              <w:left w:val="nil"/>
              <w:bottom w:val="nil"/>
              <w:right w:val="nil"/>
            </w:tcBorders>
            <w:shd w:val="clear" w:color="auto" w:fill="auto"/>
            <w:noWrap/>
            <w:vAlign w:val="bottom"/>
            <w:hideMark/>
          </w:tcPr>
          <w:p w14:paraId="2ADC3588" w14:textId="77777777" w:rsidR="00DA0EE6" w:rsidRPr="00DA0EE6" w:rsidRDefault="00DA0EE6" w:rsidP="00AC1A8B">
            <w:pPr>
              <w:widowControl w:val="0"/>
              <w:adjustRightInd w:val="0"/>
              <w:snapToGrid w:val="0"/>
              <w:jc w:val="right"/>
              <w:rPr>
                <w:rFonts w:cstheme="minorHAnsi"/>
                <w:color w:val="000000"/>
                <w:sz w:val="18"/>
                <w:szCs w:val="18"/>
                <w:lang w:val="en-GB"/>
              </w:rPr>
            </w:pPr>
          </w:p>
        </w:tc>
      </w:tr>
      <w:tr w:rsidR="00DA0EE6" w:rsidRPr="00DA0EE6" w14:paraId="265BF584" w14:textId="77777777" w:rsidTr="00AC1A8B">
        <w:trPr>
          <w:trHeight w:val="290"/>
        </w:trPr>
        <w:tc>
          <w:tcPr>
            <w:tcW w:w="1266" w:type="dxa"/>
            <w:tcBorders>
              <w:top w:val="nil"/>
              <w:left w:val="nil"/>
              <w:right w:val="nil"/>
            </w:tcBorders>
            <w:shd w:val="clear" w:color="auto" w:fill="auto"/>
            <w:noWrap/>
            <w:vAlign w:val="bottom"/>
            <w:hideMark/>
          </w:tcPr>
          <w:p w14:paraId="28929E57" w14:textId="77777777" w:rsidR="00DA0EE6" w:rsidRPr="00DA0EE6" w:rsidRDefault="00DA0EE6" w:rsidP="00AC1A8B">
            <w:pPr>
              <w:widowControl w:val="0"/>
              <w:adjustRightInd w:val="0"/>
              <w:snapToGrid w:val="0"/>
              <w:rPr>
                <w:rFonts w:cstheme="minorHAnsi"/>
                <w:b/>
                <w:bCs/>
                <w:color w:val="000000"/>
                <w:sz w:val="18"/>
                <w:szCs w:val="18"/>
                <w:lang w:val="en-GB"/>
              </w:rPr>
            </w:pPr>
            <w:proofErr w:type="spellStart"/>
            <w:r w:rsidRPr="00DA0EE6">
              <w:rPr>
                <w:rFonts w:cstheme="minorHAnsi"/>
                <w:b/>
                <w:bCs/>
                <w:i/>
                <w:iCs/>
                <w:color w:val="000000"/>
                <w:sz w:val="18"/>
                <w:szCs w:val="18"/>
                <w:lang w:val="en-GB"/>
              </w:rPr>
              <w:t>F</w:t>
            </w:r>
            <w:r w:rsidRPr="00DA0EE6">
              <w:rPr>
                <w:rFonts w:cstheme="minorHAnsi"/>
                <w:b/>
                <w:bCs/>
                <w:color w:val="000000"/>
                <w:sz w:val="18"/>
                <w:szCs w:val="18"/>
                <w:vertAlign w:val="subscript"/>
                <w:lang w:val="en-GB"/>
              </w:rPr>
              <w:t>recent</w:t>
            </w:r>
            <w:proofErr w:type="spellEnd"/>
            <w:r w:rsidRPr="00DA0EE6">
              <w:rPr>
                <w:rFonts w:cstheme="minorHAnsi"/>
                <w:b/>
                <w:bCs/>
                <w:color w:val="000000"/>
                <w:sz w:val="18"/>
                <w:szCs w:val="18"/>
                <w:lang w:val="en-GB"/>
              </w:rPr>
              <w:t>/</w:t>
            </w:r>
            <w:r w:rsidRPr="00DA0EE6">
              <w:rPr>
                <w:rFonts w:cstheme="minorHAnsi"/>
                <w:b/>
                <w:bCs/>
                <w:i/>
                <w:iCs/>
                <w:color w:val="000000"/>
                <w:sz w:val="18"/>
                <w:szCs w:val="18"/>
                <w:lang w:val="en-GB"/>
              </w:rPr>
              <w:t>F</w:t>
            </w:r>
            <w:r w:rsidRPr="00DA0EE6">
              <w:rPr>
                <w:rFonts w:cstheme="minorHAnsi"/>
                <w:b/>
                <w:bCs/>
                <w:color w:val="000000"/>
                <w:sz w:val="18"/>
                <w:szCs w:val="18"/>
                <w:vertAlign w:val="subscript"/>
                <w:lang w:val="en-GB"/>
              </w:rPr>
              <w:t>MSY</w:t>
            </w:r>
          </w:p>
        </w:tc>
        <w:tc>
          <w:tcPr>
            <w:tcW w:w="945" w:type="dxa"/>
            <w:tcBorders>
              <w:top w:val="nil"/>
              <w:left w:val="nil"/>
              <w:right w:val="nil"/>
            </w:tcBorders>
            <w:shd w:val="clear" w:color="auto" w:fill="auto"/>
            <w:noWrap/>
            <w:vAlign w:val="bottom"/>
            <w:hideMark/>
          </w:tcPr>
          <w:p w14:paraId="1BD126A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0.51</w:t>
            </w:r>
          </w:p>
        </w:tc>
        <w:tc>
          <w:tcPr>
            <w:tcW w:w="1050" w:type="dxa"/>
            <w:tcBorders>
              <w:top w:val="nil"/>
              <w:left w:val="nil"/>
              <w:right w:val="nil"/>
            </w:tcBorders>
            <w:shd w:val="clear" w:color="auto" w:fill="auto"/>
            <w:noWrap/>
            <w:vAlign w:val="bottom"/>
            <w:hideMark/>
          </w:tcPr>
          <w:p w14:paraId="41C5A818"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0.50</w:t>
            </w:r>
          </w:p>
        </w:tc>
        <w:tc>
          <w:tcPr>
            <w:tcW w:w="945" w:type="dxa"/>
            <w:tcBorders>
              <w:top w:val="nil"/>
              <w:left w:val="nil"/>
              <w:right w:val="nil"/>
            </w:tcBorders>
            <w:shd w:val="clear" w:color="auto" w:fill="auto"/>
            <w:noWrap/>
            <w:vAlign w:val="bottom"/>
            <w:hideMark/>
          </w:tcPr>
          <w:p w14:paraId="56CE741D"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0.26</w:t>
            </w:r>
          </w:p>
        </w:tc>
        <w:tc>
          <w:tcPr>
            <w:tcW w:w="1286" w:type="dxa"/>
            <w:tcBorders>
              <w:top w:val="nil"/>
              <w:left w:val="nil"/>
              <w:right w:val="nil"/>
            </w:tcBorders>
            <w:shd w:val="clear" w:color="auto" w:fill="auto"/>
            <w:noWrap/>
            <w:vAlign w:val="bottom"/>
            <w:hideMark/>
          </w:tcPr>
          <w:p w14:paraId="49495CB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0.41</w:t>
            </w:r>
          </w:p>
        </w:tc>
        <w:tc>
          <w:tcPr>
            <w:tcW w:w="1191" w:type="dxa"/>
            <w:tcBorders>
              <w:top w:val="nil"/>
              <w:left w:val="nil"/>
              <w:right w:val="nil"/>
            </w:tcBorders>
            <w:shd w:val="clear" w:color="auto" w:fill="auto"/>
            <w:noWrap/>
            <w:vAlign w:val="bottom"/>
            <w:hideMark/>
          </w:tcPr>
          <w:p w14:paraId="1E77C78E"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0.62</w:t>
            </w:r>
          </w:p>
        </w:tc>
        <w:tc>
          <w:tcPr>
            <w:tcW w:w="972" w:type="dxa"/>
            <w:tcBorders>
              <w:top w:val="nil"/>
              <w:left w:val="nil"/>
              <w:right w:val="nil"/>
            </w:tcBorders>
            <w:shd w:val="clear" w:color="auto" w:fill="auto"/>
            <w:noWrap/>
            <w:vAlign w:val="bottom"/>
            <w:hideMark/>
          </w:tcPr>
          <w:p w14:paraId="742F66F4"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0.78</w:t>
            </w:r>
          </w:p>
        </w:tc>
        <w:tc>
          <w:tcPr>
            <w:tcW w:w="1701" w:type="dxa"/>
            <w:tcBorders>
              <w:top w:val="nil"/>
              <w:left w:val="nil"/>
              <w:bottom w:val="nil"/>
              <w:right w:val="nil"/>
            </w:tcBorders>
            <w:shd w:val="clear" w:color="auto" w:fill="auto"/>
            <w:noWrap/>
            <w:vAlign w:val="bottom"/>
            <w:hideMark/>
          </w:tcPr>
          <w:p w14:paraId="598D8CB6" w14:textId="77777777" w:rsidR="00DA0EE6" w:rsidRPr="00DA0EE6" w:rsidRDefault="00DA0EE6" w:rsidP="00AC1A8B">
            <w:pPr>
              <w:widowControl w:val="0"/>
              <w:adjustRightInd w:val="0"/>
              <w:snapToGrid w:val="0"/>
              <w:jc w:val="right"/>
              <w:rPr>
                <w:rFonts w:cstheme="minorHAnsi"/>
                <w:color w:val="000000"/>
                <w:sz w:val="18"/>
                <w:szCs w:val="18"/>
                <w:lang w:val="en-GB"/>
              </w:rPr>
            </w:pPr>
          </w:p>
        </w:tc>
      </w:tr>
      <w:tr w:rsidR="00DA0EE6" w:rsidRPr="00DA0EE6" w14:paraId="59B5D9A8" w14:textId="77777777" w:rsidTr="00AC1A8B">
        <w:trPr>
          <w:trHeight w:val="290"/>
        </w:trPr>
        <w:tc>
          <w:tcPr>
            <w:tcW w:w="1266" w:type="dxa"/>
            <w:tcBorders>
              <w:top w:val="nil"/>
              <w:left w:val="nil"/>
              <w:bottom w:val="single" w:sz="4" w:space="0" w:color="auto"/>
              <w:right w:val="nil"/>
            </w:tcBorders>
            <w:shd w:val="clear" w:color="auto" w:fill="auto"/>
            <w:noWrap/>
            <w:vAlign w:val="bottom"/>
            <w:hideMark/>
          </w:tcPr>
          <w:p w14:paraId="30E682CD" w14:textId="77777777" w:rsidR="00DA0EE6" w:rsidRPr="00DA0EE6" w:rsidRDefault="00DA0EE6" w:rsidP="00AC1A8B">
            <w:pPr>
              <w:widowControl w:val="0"/>
              <w:adjustRightInd w:val="0"/>
              <w:snapToGrid w:val="0"/>
              <w:rPr>
                <w:rFonts w:cstheme="minorHAnsi"/>
                <w:b/>
                <w:bCs/>
                <w:color w:val="000000"/>
                <w:sz w:val="18"/>
                <w:szCs w:val="18"/>
                <w:lang w:val="en-GB"/>
              </w:rPr>
            </w:pPr>
            <w:proofErr w:type="spellStart"/>
            <w:r w:rsidRPr="00DA0EE6">
              <w:rPr>
                <w:rFonts w:cstheme="minorHAnsi"/>
                <w:b/>
                <w:bCs/>
                <w:i/>
                <w:iCs/>
                <w:color w:val="000000"/>
                <w:sz w:val="18"/>
                <w:szCs w:val="18"/>
                <w:lang w:val="en-GB"/>
              </w:rPr>
              <w:t>SB</w:t>
            </w:r>
            <w:r w:rsidRPr="00DA0EE6">
              <w:rPr>
                <w:rFonts w:cstheme="minorHAnsi"/>
                <w:b/>
                <w:bCs/>
                <w:color w:val="000000"/>
                <w:sz w:val="18"/>
                <w:szCs w:val="18"/>
                <w:vertAlign w:val="subscript"/>
                <w:lang w:val="en-GB"/>
              </w:rPr>
              <w:t>recent</w:t>
            </w:r>
            <w:proofErr w:type="spellEnd"/>
            <w:r w:rsidRPr="00DA0EE6">
              <w:rPr>
                <w:rFonts w:cstheme="minorHAnsi"/>
                <w:b/>
                <w:bCs/>
                <w:color w:val="000000"/>
                <w:sz w:val="18"/>
                <w:szCs w:val="18"/>
                <w:lang w:val="en-GB"/>
              </w:rPr>
              <w:t>/</w:t>
            </w:r>
            <w:r w:rsidRPr="00DA0EE6">
              <w:rPr>
                <w:rFonts w:cstheme="minorHAnsi"/>
                <w:b/>
                <w:bCs/>
                <w:i/>
                <w:iCs/>
                <w:color w:val="000000"/>
                <w:sz w:val="18"/>
                <w:szCs w:val="18"/>
                <w:lang w:val="en-GB"/>
              </w:rPr>
              <w:t>SB</w:t>
            </w:r>
            <w:r w:rsidRPr="00DA0EE6">
              <w:rPr>
                <w:rFonts w:cstheme="minorHAnsi"/>
                <w:b/>
                <w:bCs/>
                <w:color w:val="000000"/>
                <w:sz w:val="18"/>
                <w:szCs w:val="18"/>
                <w:vertAlign w:val="subscript"/>
                <w:lang w:val="en-GB"/>
              </w:rPr>
              <w:t>MSY</w:t>
            </w:r>
          </w:p>
        </w:tc>
        <w:tc>
          <w:tcPr>
            <w:tcW w:w="945" w:type="dxa"/>
            <w:tcBorders>
              <w:top w:val="nil"/>
              <w:left w:val="nil"/>
              <w:bottom w:val="single" w:sz="4" w:space="0" w:color="auto"/>
              <w:right w:val="nil"/>
            </w:tcBorders>
            <w:shd w:val="clear" w:color="auto" w:fill="auto"/>
            <w:noWrap/>
            <w:vAlign w:val="bottom"/>
            <w:hideMark/>
          </w:tcPr>
          <w:p w14:paraId="1634AEA5"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2.31</w:t>
            </w:r>
          </w:p>
        </w:tc>
        <w:tc>
          <w:tcPr>
            <w:tcW w:w="1050" w:type="dxa"/>
            <w:tcBorders>
              <w:top w:val="nil"/>
              <w:left w:val="nil"/>
              <w:bottom w:val="single" w:sz="4" w:space="0" w:color="auto"/>
              <w:right w:val="nil"/>
            </w:tcBorders>
            <w:shd w:val="clear" w:color="auto" w:fill="auto"/>
            <w:noWrap/>
            <w:vAlign w:val="bottom"/>
            <w:hideMark/>
          </w:tcPr>
          <w:p w14:paraId="7E1C9DF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2.28</w:t>
            </w:r>
          </w:p>
        </w:tc>
        <w:tc>
          <w:tcPr>
            <w:tcW w:w="945" w:type="dxa"/>
            <w:tcBorders>
              <w:top w:val="nil"/>
              <w:left w:val="nil"/>
              <w:bottom w:val="single" w:sz="4" w:space="0" w:color="auto"/>
              <w:right w:val="nil"/>
            </w:tcBorders>
            <w:shd w:val="clear" w:color="auto" w:fill="auto"/>
            <w:noWrap/>
            <w:vAlign w:val="bottom"/>
            <w:hideMark/>
          </w:tcPr>
          <w:p w14:paraId="2AE43AFC"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0.93</w:t>
            </w:r>
          </w:p>
        </w:tc>
        <w:tc>
          <w:tcPr>
            <w:tcW w:w="1286" w:type="dxa"/>
            <w:tcBorders>
              <w:top w:val="nil"/>
              <w:left w:val="nil"/>
              <w:bottom w:val="single" w:sz="4" w:space="0" w:color="auto"/>
              <w:right w:val="nil"/>
            </w:tcBorders>
            <w:shd w:val="clear" w:color="auto" w:fill="auto"/>
            <w:noWrap/>
            <w:vAlign w:val="bottom"/>
            <w:hideMark/>
          </w:tcPr>
          <w:p w14:paraId="10B7A8F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1.73</w:t>
            </w:r>
          </w:p>
        </w:tc>
        <w:tc>
          <w:tcPr>
            <w:tcW w:w="1191" w:type="dxa"/>
            <w:tcBorders>
              <w:top w:val="nil"/>
              <w:left w:val="nil"/>
              <w:bottom w:val="single" w:sz="4" w:space="0" w:color="auto"/>
              <w:right w:val="nil"/>
            </w:tcBorders>
            <w:shd w:val="clear" w:color="auto" w:fill="auto"/>
            <w:noWrap/>
            <w:vAlign w:val="bottom"/>
            <w:hideMark/>
          </w:tcPr>
          <w:p w14:paraId="70D905C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2.95</w:t>
            </w:r>
          </w:p>
        </w:tc>
        <w:tc>
          <w:tcPr>
            <w:tcW w:w="972" w:type="dxa"/>
            <w:tcBorders>
              <w:top w:val="nil"/>
              <w:left w:val="nil"/>
              <w:bottom w:val="single" w:sz="4" w:space="0" w:color="auto"/>
              <w:right w:val="nil"/>
            </w:tcBorders>
            <w:shd w:val="clear" w:color="auto" w:fill="auto"/>
            <w:noWrap/>
            <w:vAlign w:val="bottom"/>
            <w:hideMark/>
          </w:tcPr>
          <w:p w14:paraId="50BEC602" w14:textId="77777777" w:rsidR="00DA0EE6" w:rsidRPr="00DA0EE6" w:rsidRDefault="00DA0EE6" w:rsidP="00AC1A8B">
            <w:pPr>
              <w:widowControl w:val="0"/>
              <w:adjustRightInd w:val="0"/>
              <w:snapToGrid w:val="0"/>
              <w:jc w:val="right"/>
              <w:rPr>
                <w:rFonts w:cstheme="minorHAnsi"/>
                <w:color w:val="000000"/>
                <w:sz w:val="18"/>
                <w:szCs w:val="18"/>
                <w:lang w:val="en-GB"/>
              </w:rPr>
            </w:pPr>
            <w:r w:rsidRPr="00DA0EE6">
              <w:rPr>
                <w:rFonts w:cstheme="minorHAnsi"/>
                <w:color w:val="000000"/>
                <w:sz w:val="18"/>
                <w:szCs w:val="18"/>
                <w:lang w:val="en-GB"/>
              </w:rPr>
              <w:t>3.59</w:t>
            </w:r>
          </w:p>
        </w:tc>
        <w:tc>
          <w:tcPr>
            <w:tcW w:w="1701" w:type="dxa"/>
            <w:tcBorders>
              <w:top w:val="nil"/>
              <w:left w:val="nil"/>
              <w:bottom w:val="nil"/>
              <w:right w:val="nil"/>
            </w:tcBorders>
            <w:shd w:val="clear" w:color="auto" w:fill="auto"/>
            <w:noWrap/>
            <w:vAlign w:val="bottom"/>
            <w:hideMark/>
          </w:tcPr>
          <w:p w14:paraId="41BF0F2C" w14:textId="77777777" w:rsidR="00DA0EE6" w:rsidRPr="00DA0EE6" w:rsidRDefault="00DA0EE6" w:rsidP="00AC1A8B">
            <w:pPr>
              <w:widowControl w:val="0"/>
              <w:adjustRightInd w:val="0"/>
              <w:snapToGrid w:val="0"/>
              <w:jc w:val="right"/>
              <w:rPr>
                <w:rFonts w:cstheme="minorHAnsi"/>
                <w:color w:val="000000"/>
                <w:sz w:val="18"/>
                <w:szCs w:val="18"/>
                <w:lang w:val="en-GB"/>
              </w:rPr>
            </w:pPr>
          </w:p>
        </w:tc>
      </w:tr>
    </w:tbl>
    <w:p w14:paraId="306BF798" w14:textId="77777777" w:rsidR="00DA0EE6" w:rsidRPr="00DA0EE6" w:rsidRDefault="00DA0EE6" w:rsidP="00DA0EE6">
      <w:pPr>
        <w:pStyle w:val="ListParagraph"/>
        <w:adjustRightInd w:val="0"/>
        <w:snapToGrid w:val="0"/>
        <w:ind w:left="360"/>
        <w:rPr>
          <w:rFonts w:asciiTheme="minorHAnsi" w:hAnsiTheme="minorHAnsi" w:cstheme="minorHAnsi"/>
          <w:b/>
          <w:bCs/>
          <w:lang w:val="en-GB"/>
        </w:rPr>
      </w:pPr>
    </w:p>
    <w:p w14:paraId="39065BD5" w14:textId="77777777" w:rsidR="00DA0EE6" w:rsidRPr="00DA0EE6" w:rsidRDefault="00DA0EE6" w:rsidP="00DA0EE6">
      <w:pPr>
        <w:pStyle w:val="ListParagraph"/>
        <w:adjustRightInd w:val="0"/>
        <w:snapToGrid w:val="0"/>
        <w:ind w:left="360"/>
        <w:rPr>
          <w:rFonts w:asciiTheme="minorHAnsi" w:hAnsiTheme="minorHAnsi" w:cstheme="minorHAnsi"/>
          <w:lang w:val="en-GB"/>
        </w:rPr>
      </w:pPr>
      <w:r w:rsidRPr="00DA0EE6">
        <w:rPr>
          <w:rFonts w:asciiTheme="minorHAnsi" w:hAnsiTheme="minorHAnsi" w:cstheme="minorHAnsi"/>
          <w:b/>
          <w:bCs/>
          <w:lang w:val="en-GB"/>
        </w:rPr>
        <w:t>Table YFT-02</w:t>
      </w:r>
      <w:r w:rsidRPr="00DA0EE6">
        <w:rPr>
          <w:rFonts w:asciiTheme="minorHAnsi" w:hAnsiTheme="minorHAnsi" w:cstheme="minorHAnsi"/>
          <w:lang w:val="en-GB"/>
        </w:rPr>
        <w:t>: Structural uncertainty grid for the 2023 WCPO yellowfin tuna stock assessment. Bold values indicate settings for the diagnostic model (Table 3 from SC19-SA-WP-04).</w:t>
      </w:r>
    </w:p>
    <w:tbl>
      <w:tblPr>
        <w:tblW w:w="5830" w:type="dxa"/>
        <w:tblBorders>
          <w:top w:val="single" w:sz="4" w:space="0" w:color="auto"/>
          <w:bottom w:val="single" w:sz="4" w:space="0" w:color="auto"/>
        </w:tblBorders>
        <w:tblLook w:val="04A0" w:firstRow="1" w:lastRow="0" w:firstColumn="1" w:lastColumn="0" w:noHBand="0" w:noVBand="1"/>
      </w:tblPr>
      <w:tblGrid>
        <w:gridCol w:w="2247"/>
        <w:gridCol w:w="754"/>
        <w:gridCol w:w="943"/>
        <w:gridCol w:w="943"/>
        <w:gridCol w:w="943"/>
      </w:tblGrid>
      <w:tr w:rsidR="00DA0EE6" w:rsidRPr="00DA0EE6" w14:paraId="2D143F03" w14:textId="77777777" w:rsidTr="00AC1A8B">
        <w:trPr>
          <w:trHeight w:val="290"/>
        </w:trPr>
        <w:tc>
          <w:tcPr>
            <w:tcW w:w="2247" w:type="dxa"/>
            <w:tcBorders>
              <w:top w:val="single" w:sz="4" w:space="0" w:color="auto"/>
              <w:bottom w:val="single" w:sz="4" w:space="0" w:color="auto"/>
            </w:tcBorders>
            <w:shd w:val="clear" w:color="auto" w:fill="auto"/>
            <w:noWrap/>
            <w:vAlign w:val="bottom"/>
            <w:hideMark/>
          </w:tcPr>
          <w:p w14:paraId="43FDDD82"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Axis</w:t>
            </w:r>
          </w:p>
        </w:tc>
        <w:tc>
          <w:tcPr>
            <w:tcW w:w="754" w:type="dxa"/>
            <w:tcBorders>
              <w:top w:val="single" w:sz="4" w:space="0" w:color="auto"/>
              <w:bottom w:val="single" w:sz="4" w:space="0" w:color="auto"/>
            </w:tcBorders>
            <w:shd w:val="clear" w:color="auto" w:fill="auto"/>
            <w:noWrap/>
            <w:vAlign w:val="bottom"/>
            <w:hideMark/>
          </w:tcPr>
          <w:p w14:paraId="7D27A9FA"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Levels</w:t>
            </w:r>
          </w:p>
        </w:tc>
        <w:tc>
          <w:tcPr>
            <w:tcW w:w="943" w:type="dxa"/>
            <w:tcBorders>
              <w:top w:val="single" w:sz="4" w:space="0" w:color="auto"/>
              <w:bottom w:val="single" w:sz="4" w:space="0" w:color="auto"/>
            </w:tcBorders>
            <w:shd w:val="clear" w:color="auto" w:fill="auto"/>
            <w:noWrap/>
            <w:vAlign w:val="bottom"/>
            <w:hideMark/>
          </w:tcPr>
          <w:p w14:paraId="75B0CF48"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Option 1</w:t>
            </w:r>
          </w:p>
        </w:tc>
        <w:tc>
          <w:tcPr>
            <w:tcW w:w="943" w:type="dxa"/>
            <w:tcBorders>
              <w:top w:val="single" w:sz="4" w:space="0" w:color="auto"/>
              <w:bottom w:val="single" w:sz="4" w:space="0" w:color="auto"/>
            </w:tcBorders>
            <w:shd w:val="clear" w:color="auto" w:fill="auto"/>
            <w:noWrap/>
            <w:vAlign w:val="bottom"/>
            <w:hideMark/>
          </w:tcPr>
          <w:p w14:paraId="1B0CF9EA"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Option 2</w:t>
            </w:r>
          </w:p>
        </w:tc>
        <w:tc>
          <w:tcPr>
            <w:tcW w:w="943" w:type="dxa"/>
            <w:tcBorders>
              <w:top w:val="single" w:sz="4" w:space="0" w:color="auto"/>
              <w:bottom w:val="single" w:sz="4" w:space="0" w:color="auto"/>
            </w:tcBorders>
            <w:shd w:val="clear" w:color="auto" w:fill="auto"/>
            <w:noWrap/>
            <w:vAlign w:val="bottom"/>
            <w:hideMark/>
          </w:tcPr>
          <w:p w14:paraId="5BDC4A1E"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Option 3</w:t>
            </w:r>
          </w:p>
        </w:tc>
      </w:tr>
      <w:tr w:rsidR="00DA0EE6" w:rsidRPr="00DA0EE6" w14:paraId="10EEBDFE" w14:textId="77777777" w:rsidTr="00AC1A8B">
        <w:trPr>
          <w:trHeight w:val="290"/>
        </w:trPr>
        <w:tc>
          <w:tcPr>
            <w:tcW w:w="2247" w:type="dxa"/>
            <w:tcBorders>
              <w:top w:val="single" w:sz="4" w:space="0" w:color="auto"/>
            </w:tcBorders>
            <w:shd w:val="clear" w:color="auto" w:fill="auto"/>
            <w:noWrap/>
            <w:vAlign w:val="bottom"/>
            <w:hideMark/>
          </w:tcPr>
          <w:p w14:paraId="7CC20EF5"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Steepness</w:t>
            </w:r>
          </w:p>
        </w:tc>
        <w:tc>
          <w:tcPr>
            <w:tcW w:w="754" w:type="dxa"/>
            <w:tcBorders>
              <w:top w:val="single" w:sz="4" w:space="0" w:color="auto"/>
            </w:tcBorders>
            <w:shd w:val="clear" w:color="auto" w:fill="auto"/>
            <w:noWrap/>
            <w:vAlign w:val="bottom"/>
            <w:hideMark/>
          </w:tcPr>
          <w:p w14:paraId="3BC4C809"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3</w:t>
            </w:r>
          </w:p>
        </w:tc>
        <w:tc>
          <w:tcPr>
            <w:tcW w:w="943" w:type="dxa"/>
            <w:tcBorders>
              <w:top w:val="single" w:sz="4" w:space="0" w:color="auto"/>
            </w:tcBorders>
            <w:shd w:val="clear" w:color="auto" w:fill="auto"/>
            <w:noWrap/>
            <w:vAlign w:val="bottom"/>
            <w:hideMark/>
          </w:tcPr>
          <w:p w14:paraId="073AE501"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0.65</w:t>
            </w:r>
          </w:p>
        </w:tc>
        <w:tc>
          <w:tcPr>
            <w:tcW w:w="943" w:type="dxa"/>
            <w:tcBorders>
              <w:top w:val="single" w:sz="4" w:space="0" w:color="auto"/>
            </w:tcBorders>
            <w:shd w:val="clear" w:color="auto" w:fill="auto"/>
            <w:noWrap/>
            <w:vAlign w:val="bottom"/>
            <w:hideMark/>
          </w:tcPr>
          <w:p w14:paraId="797001C5"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0.8</w:t>
            </w:r>
          </w:p>
        </w:tc>
        <w:tc>
          <w:tcPr>
            <w:tcW w:w="943" w:type="dxa"/>
            <w:tcBorders>
              <w:top w:val="single" w:sz="4" w:space="0" w:color="auto"/>
            </w:tcBorders>
            <w:shd w:val="clear" w:color="auto" w:fill="auto"/>
            <w:noWrap/>
            <w:vAlign w:val="bottom"/>
            <w:hideMark/>
          </w:tcPr>
          <w:p w14:paraId="5900DB6D"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0.95</w:t>
            </w:r>
          </w:p>
        </w:tc>
      </w:tr>
      <w:tr w:rsidR="00DA0EE6" w:rsidRPr="00DA0EE6" w14:paraId="1B922042" w14:textId="77777777" w:rsidTr="00AC1A8B">
        <w:trPr>
          <w:trHeight w:val="290"/>
        </w:trPr>
        <w:tc>
          <w:tcPr>
            <w:tcW w:w="2247" w:type="dxa"/>
            <w:shd w:val="clear" w:color="auto" w:fill="auto"/>
            <w:noWrap/>
            <w:vAlign w:val="bottom"/>
            <w:hideMark/>
          </w:tcPr>
          <w:p w14:paraId="31FB6123"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Tag mixing (# quarters)</w:t>
            </w:r>
          </w:p>
        </w:tc>
        <w:tc>
          <w:tcPr>
            <w:tcW w:w="754" w:type="dxa"/>
            <w:shd w:val="clear" w:color="auto" w:fill="auto"/>
            <w:noWrap/>
            <w:vAlign w:val="bottom"/>
            <w:hideMark/>
          </w:tcPr>
          <w:p w14:paraId="13CA4778"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2</w:t>
            </w:r>
          </w:p>
        </w:tc>
        <w:tc>
          <w:tcPr>
            <w:tcW w:w="943" w:type="dxa"/>
            <w:shd w:val="clear" w:color="auto" w:fill="auto"/>
            <w:noWrap/>
            <w:vAlign w:val="bottom"/>
            <w:hideMark/>
          </w:tcPr>
          <w:p w14:paraId="52249292"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1</w:t>
            </w:r>
          </w:p>
        </w:tc>
        <w:tc>
          <w:tcPr>
            <w:tcW w:w="943" w:type="dxa"/>
            <w:shd w:val="clear" w:color="auto" w:fill="auto"/>
            <w:noWrap/>
            <w:vAlign w:val="bottom"/>
            <w:hideMark/>
          </w:tcPr>
          <w:p w14:paraId="6017CBEB"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2</w:t>
            </w:r>
          </w:p>
        </w:tc>
        <w:tc>
          <w:tcPr>
            <w:tcW w:w="943" w:type="dxa"/>
            <w:shd w:val="clear" w:color="auto" w:fill="auto"/>
            <w:noWrap/>
            <w:vAlign w:val="bottom"/>
          </w:tcPr>
          <w:p w14:paraId="0BF6F142" w14:textId="77777777" w:rsidR="00DA0EE6" w:rsidRPr="00DA0EE6" w:rsidRDefault="00DA0EE6" w:rsidP="00AC1A8B">
            <w:pPr>
              <w:widowControl w:val="0"/>
              <w:adjustRightInd w:val="0"/>
              <w:snapToGrid w:val="0"/>
              <w:rPr>
                <w:rFonts w:cstheme="minorHAnsi"/>
                <w:b/>
                <w:color w:val="000000"/>
                <w:sz w:val="18"/>
                <w:szCs w:val="18"/>
                <w:lang w:val="en-GB"/>
              </w:rPr>
            </w:pPr>
          </w:p>
        </w:tc>
      </w:tr>
      <w:tr w:rsidR="00DA0EE6" w:rsidRPr="00DA0EE6" w14:paraId="0E70CEED" w14:textId="77777777" w:rsidTr="00AC1A8B">
        <w:trPr>
          <w:trHeight w:val="290"/>
        </w:trPr>
        <w:tc>
          <w:tcPr>
            <w:tcW w:w="2247" w:type="dxa"/>
            <w:shd w:val="clear" w:color="auto" w:fill="auto"/>
            <w:noWrap/>
            <w:vAlign w:val="bottom"/>
            <w:hideMark/>
          </w:tcPr>
          <w:p w14:paraId="4FEC4F0E"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Size data weighting divisor</w:t>
            </w:r>
          </w:p>
        </w:tc>
        <w:tc>
          <w:tcPr>
            <w:tcW w:w="754" w:type="dxa"/>
            <w:shd w:val="clear" w:color="auto" w:fill="auto"/>
            <w:noWrap/>
            <w:vAlign w:val="bottom"/>
            <w:hideMark/>
          </w:tcPr>
          <w:p w14:paraId="37A1A613"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3</w:t>
            </w:r>
          </w:p>
        </w:tc>
        <w:tc>
          <w:tcPr>
            <w:tcW w:w="943" w:type="dxa"/>
            <w:shd w:val="clear" w:color="auto" w:fill="auto"/>
            <w:noWrap/>
            <w:vAlign w:val="bottom"/>
            <w:hideMark/>
          </w:tcPr>
          <w:p w14:paraId="4F6D0683"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10</w:t>
            </w:r>
          </w:p>
        </w:tc>
        <w:tc>
          <w:tcPr>
            <w:tcW w:w="943" w:type="dxa"/>
            <w:shd w:val="clear" w:color="auto" w:fill="auto"/>
            <w:noWrap/>
            <w:vAlign w:val="bottom"/>
            <w:hideMark/>
          </w:tcPr>
          <w:p w14:paraId="249FA0BD"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20</w:t>
            </w:r>
          </w:p>
        </w:tc>
        <w:tc>
          <w:tcPr>
            <w:tcW w:w="943" w:type="dxa"/>
            <w:shd w:val="clear" w:color="auto" w:fill="auto"/>
            <w:noWrap/>
            <w:vAlign w:val="bottom"/>
            <w:hideMark/>
          </w:tcPr>
          <w:p w14:paraId="1AE641A3"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40</w:t>
            </w:r>
          </w:p>
        </w:tc>
      </w:tr>
      <w:tr w:rsidR="00DA0EE6" w:rsidRPr="00DA0EE6" w14:paraId="391BD5D7" w14:textId="77777777" w:rsidTr="00AC1A8B">
        <w:trPr>
          <w:trHeight w:val="290"/>
        </w:trPr>
        <w:tc>
          <w:tcPr>
            <w:tcW w:w="2247" w:type="dxa"/>
            <w:shd w:val="clear" w:color="auto" w:fill="auto"/>
            <w:noWrap/>
            <w:vAlign w:val="bottom"/>
            <w:hideMark/>
          </w:tcPr>
          <w:p w14:paraId="18BF233B"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Age data weighting</w:t>
            </w:r>
          </w:p>
        </w:tc>
        <w:tc>
          <w:tcPr>
            <w:tcW w:w="754" w:type="dxa"/>
            <w:shd w:val="clear" w:color="auto" w:fill="auto"/>
            <w:noWrap/>
            <w:vAlign w:val="bottom"/>
            <w:hideMark/>
          </w:tcPr>
          <w:p w14:paraId="77B74CB2"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3</w:t>
            </w:r>
          </w:p>
        </w:tc>
        <w:tc>
          <w:tcPr>
            <w:tcW w:w="943" w:type="dxa"/>
            <w:shd w:val="clear" w:color="auto" w:fill="auto"/>
            <w:noWrap/>
            <w:vAlign w:val="bottom"/>
            <w:hideMark/>
          </w:tcPr>
          <w:p w14:paraId="4E0646B1"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0.5</w:t>
            </w:r>
          </w:p>
        </w:tc>
        <w:tc>
          <w:tcPr>
            <w:tcW w:w="943" w:type="dxa"/>
            <w:shd w:val="clear" w:color="auto" w:fill="auto"/>
            <w:noWrap/>
            <w:vAlign w:val="bottom"/>
            <w:hideMark/>
          </w:tcPr>
          <w:p w14:paraId="61D2E238" w14:textId="77777777" w:rsidR="00DA0EE6" w:rsidRPr="00DA0EE6" w:rsidRDefault="00DA0EE6" w:rsidP="00AC1A8B">
            <w:pPr>
              <w:widowControl w:val="0"/>
              <w:adjustRightInd w:val="0"/>
              <w:snapToGrid w:val="0"/>
              <w:rPr>
                <w:rFonts w:cstheme="minorHAnsi"/>
                <w:b/>
                <w:color w:val="000000"/>
                <w:sz w:val="18"/>
                <w:szCs w:val="18"/>
                <w:lang w:val="en-GB"/>
              </w:rPr>
            </w:pPr>
            <w:r w:rsidRPr="00DA0EE6">
              <w:rPr>
                <w:rFonts w:cstheme="minorHAnsi"/>
                <w:b/>
                <w:color w:val="000000"/>
                <w:sz w:val="18"/>
                <w:szCs w:val="18"/>
                <w:lang w:val="en-GB"/>
              </w:rPr>
              <w:t>0.75</w:t>
            </w:r>
          </w:p>
        </w:tc>
        <w:tc>
          <w:tcPr>
            <w:tcW w:w="943" w:type="dxa"/>
            <w:shd w:val="clear" w:color="auto" w:fill="auto"/>
            <w:noWrap/>
            <w:vAlign w:val="bottom"/>
            <w:hideMark/>
          </w:tcPr>
          <w:p w14:paraId="723D6A17" w14:textId="77777777" w:rsidR="00DA0EE6" w:rsidRPr="00DA0EE6" w:rsidRDefault="00DA0EE6" w:rsidP="00AC1A8B">
            <w:pPr>
              <w:widowControl w:val="0"/>
              <w:adjustRightInd w:val="0"/>
              <w:snapToGrid w:val="0"/>
              <w:rPr>
                <w:rFonts w:cstheme="minorHAnsi"/>
                <w:color w:val="000000"/>
                <w:sz w:val="18"/>
                <w:szCs w:val="18"/>
                <w:lang w:val="en-GB"/>
              </w:rPr>
            </w:pPr>
            <w:r w:rsidRPr="00DA0EE6">
              <w:rPr>
                <w:rFonts w:cstheme="minorHAnsi"/>
                <w:color w:val="000000"/>
                <w:sz w:val="18"/>
                <w:szCs w:val="18"/>
                <w:lang w:val="en-GB"/>
              </w:rPr>
              <w:t>1</w:t>
            </w:r>
          </w:p>
        </w:tc>
      </w:tr>
    </w:tbl>
    <w:p w14:paraId="7BE758B7" w14:textId="77777777" w:rsidR="00DA0EE6" w:rsidRPr="00DA0EE6" w:rsidRDefault="00DA0EE6" w:rsidP="00DA0EE6">
      <w:pPr>
        <w:pStyle w:val="ListParagraph"/>
        <w:adjustRightInd w:val="0"/>
        <w:snapToGrid w:val="0"/>
        <w:ind w:left="360"/>
        <w:rPr>
          <w:rFonts w:asciiTheme="minorHAnsi" w:hAnsiTheme="minorHAnsi" w:cstheme="minorHAnsi"/>
          <w:lang w:val="en-GB"/>
        </w:rPr>
      </w:pPr>
    </w:p>
    <w:p w14:paraId="75436CD9" w14:textId="77777777" w:rsidR="00DA0EE6" w:rsidRPr="00DA0EE6" w:rsidRDefault="00DA0EE6" w:rsidP="00DA0EE6">
      <w:pPr>
        <w:pStyle w:val="ListParagraph"/>
        <w:adjustRightInd w:val="0"/>
        <w:snapToGrid w:val="0"/>
        <w:ind w:left="360"/>
        <w:rPr>
          <w:rFonts w:asciiTheme="minorHAnsi" w:hAnsiTheme="minorHAnsi" w:cstheme="minorHAnsi"/>
          <w:lang w:val="en-GB"/>
        </w:rPr>
      </w:pPr>
    </w:p>
    <w:p w14:paraId="36B3B127" w14:textId="77777777" w:rsidR="00DA0EE6" w:rsidRPr="00DA0EE6" w:rsidRDefault="00DA0EE6" w:rsidP="00DA0EE6">
      <w:pPr>
        <w:adjustRightInd w:val="0"/>
        <w:snapToGrid w:val="0"/>
        <w:jc w:val="center"/>
        <w:rPr>
          <w:rFonts w:cstheme="minorHAnsi"/>
          <w:lang w:val="en-GB"/>
        </w:rPr>
      </w:pPr>
      <w:r w:rsidRPr="00DA0EE6">
        <w:rPr>
          <w:rFonts w:cstheme="minorHAnsi"/>
          <w:noProof/>
        </w:rPr>
        <w:drawing>
          <wp:inline distT="0" distB="0" distL="0" distR="0" wp14:anchorId="2668626B" wp14:editId="0D947140">
            <wp:extent cx="4552950" cy="3240573"/>
            <wp:effectExtent l="0" t="0" r="0" b="0"/>
            <wp:docPr id="1" name="Picture 1"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north and south americ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567608" cy="3251006"/>
                    </a:xfrm>
                    <a:prstGeom prst="rect">
                      <a:avLst/>
                    </a:prstGeom>
                  </pic:spPr>
                </pic:pic>
              </a:graphicData>
            </a:graphic>
          </wp:inline>
        </w:drawing>
      </w:r>
    </w:p>
    <w:p w14:paraId="269FE36F" w14:textId="77777777" w:rsidR="00DA0EE6" w:rsidRPr="00DA0EE6" w:rsidRDefault="00DA0EE6" w:rsidP="00DA0EE6">
      <w:pPr>
        <w:pStyle w:val="ListParagraph"/>
        <w:adjustRightInd w:val="0"/>
        <w:snapToGrid w:val="0"/>
        <w:ind w:left="360"/>
        <w:rPr>
          <w:rFonts w:asciiTheme="minorHAnsi" w:hAnsiTheme="minorHAnsi" w:cstheme="minorHAnsi"/>
        </w:rPr>
      </w:pPr>
    </w:p>
    <w:p w14:paraId="5EE4F0FD" w14:textId="77777777" w:rsidR="00DA0EE6" w:rsidRPr="00DA0EE6" w:rsidRDefault="00DA0EE6" w:rsidP="00DA0EE6">
      <w:pPr>
        <w:pStyle w:val="ListParagraph"/>
        <w:adjustRightInd w:val="0"/>
        <w:snapToGrid w:val="0"/>
        <w:ind w:left="360"/>
        <w:jc w:val="both"/>
        <w:rPr>
          <w:rFonts w:asciiTheme="minorHAnsi" w:hAnsiTheme="minorHAnsi" w:cstheme="minorHAnsi"/>
          <w:b/>
          <w:bCs/>
          <w:lang w:val="en-GB"/>
        </w:rPr>
      </w:pPr>
      <w:r w:rsidRPr="00DA0EE6">
        <w:rPr>
          <w:rFonts w:asciiTheme="minorHAnsi" w:hAnsiTheme="minorHAnsi" w:cstheme="minorHAnsi"/>
          <w:b/>
          <w:bCs/>
          <w:lang w:val="en-GB"/>
        </w:rPr>
        <w:t>Figure YFT-01</w:t>
      </w:r>
      <w:r w:rsidRPr="00DA0EE6">
        <w:rPr>
          <w:rFonts w:asciiTheme="minorHAnsi" w:hAnsiTheme="minorHAnsi" w:cstheme="minorHAnsi"/>
          <w:lang w:val="en-GB"/>
        </w:rPr>
        <w:t>: The geographical area covered by the stock assessment and the boundaries of the model regions for the 5-region structure that was used for 2023 WCPO yellowfin tuna assessment (Figure 1a from SC19-SA-SP-04).</w:t>
      </w:r>
    </w:p>
    <w:p w14:paraId="0FFE07AF" w14:textId="77777777" w:rsidR="00DA0EE6" w:rsidRPr="00DA0EE6" w:rsidRDefault="00DA0EE6" w:rsidP="00DA0EE6">
      <w:pPr>
        <w:pStyle w:val="ListParagraph"/>
        <w:adjustRightInd w:val="0"/>
        <w:snapToGrid w:val="0"/>
        <w:ind w:left="360"/>
        <w:rPr>
          <w:rFonts w:asciiTheme="minorHAnsi" w:hAnsiTheme="minorHAnsi" w:cstheme="minorHAnsi"/>
          <w:lang w:val="en-GB"/>
        </w:rPr>
      </w:pPr>
    </w:p>
    <w:p w14:paraId="1F797C06" w14:textId="77777777" w:rsidR="00DA0EE6" w:rsidRPr="00DA0EE6" w:rsidRDefault="00DA0EE6" w:rsidP="00DA0EE6">
      <w:pPr>
        <w:adjustRightInd w:val="0"/>
        <w:snapToGrid w:val="0"/>
        <w:jc w:val="center"/>
        <w:rPr>
          <w:rFonts w:cstheme="minorHAnsi"/>
          <w:lang w:val="en-GB"/>
        </w:rPr>
      </w:pPr>
      <w:r w:rsidRPr="00DA0EE6">
        <w:rPr>
          <w:rFonts w:cstheme="minorHAnsi"/>
          <w:noProof/>
          <w:lang w:val="en-GB"/>
        </w:rPr>
        <w:drawing>
          <wp:inline distT="0" distB="0" distL="0" distR="0" wp14:anchorId="12C95794" wp14:editId="51318C80">
            <wp:extent cx="5667126" cy="3221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3.png"/>
                    <pic:cNvPicPr/>
                  </pic:nvPicPr>
                  <pic:blipFill>
                    <a:blip r:embed="rId10">
                      <a:extLst>
                        <a:ext uri="{28A0092B-C50C-407E-A947-70E740481C1C}">
                          <a14:useLocalDpi xmlns:a14="http://schemas.microsoft.com/office/drawing/2010/main" val="0"/>
                        </a:ext>
                      </a:extLst>
                    </a:blip>
                    <a:stretch>
                      <a:fillRect/>
                    </a:stretch>
                  </pic:blipFill>
                  <pic:spPr>
                    <a:xfrm>
                      <a:off x="0" y="0"/>
                      <a:ext cx="5680915" cy="3229504"/>
                    </a:xfrm>
                    <a:prstGeom prst="rect">
                      <a:avLst/>
                    </a:prstGeom>
                  </pic:spPr>
                </pic:pic>
              </a:graphicData>
            </a:graphic>
          </wp:inline>
        </w:drawing>
      </w:r>
    </w:p>
    <w:p w14:paraId="1297B58B"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w:t>
      </w:r>
      <w:r w:rsidRPr="00DA0EE6">
        <w:rPr>
          <w:rFonts w:asciiTheme="minorHAnsi" w:hAnsiTheme="minorHAnsi" w:cstheme="minorHAnsi"/>
          <w:lang w:val="en-GB"/>
        </w:rPr>
        <w:t xml:space="preserve"> </w:t>
      </w:r>
      <w:r w:rsidRPr="00DA0EE6">
        <w:rPr>
          <w:rFonts w:asciiTheme="minorHAnsi" w:hAnsiTheme="minorHAnsi" w:cstheme="minorHAnsi"/>
          <w:b/>
          <w:bCs/>
          <w:lang w:val="en-GB"/>
        </w:rPr>
        <w:t>YFT-02</w:t>
      </w:r>
      <w:r w:rsidRPr="00DA0EE6">
        <w:rPr>
          <w:rFonts w:asciiTheme="minorHAnsi" w:hAnsiTheme="minorHAnsi" w:cstheme="minorHAnsi"/>
          <w:lang w:val="en-GB"/>
        </w:rPr>
        <w:t>: Annual catches of yellowfin by gear type in the WCPO area covered by the assessment (Figure 3 from SC19-SA-WP-04).</w:t>
      </w:r>
    </w:p>
    <w:p w14:paraId="611C5449" w14:textId="77777777" w:rsidR="00DA0EE6" w:rsidRPr="00DA0EE6" w:rsidRDefault="00DA0EE6" w:rsidP="00DA0EE6">
      <w:pPr>
        <w:pStyle w:val="ListParagraph"/>
        <w:adjustRightInd w:val="0"/>
        <w:snapToGrid w:val="0"/>
        <w:ind w:left="360"/>
        <w:rPr>
          <w:rFonts w:asciiTheme="minorHAnsi" w:hAnsiTheme="minorHAnsi" w:cstheme="minorHAnsi"/>
          <w:lang w:val="en-GB"/>
        </w:rPr>
      </w:pPr>
    </w:p>
    <w:p w14:paraId="16DA569A" w14:textId="77777777" w:rsidR="00DA0EE6" w:rsidRPr="00DA0EE6" w:rsidRDefault="00DA0EE6" w:rsidP="00DA0EE6">
      <w:pPr>
        <w:adjustRightInd w:val="0"/>
        <w:snapToGrid w:val="0"/>
        <w:jc w:val="center"/>
        <w:rPr>
          <w:rFonts w:cstheme="minorHAnsi"/>
          <w:lang w:val="en-GB"/>
        </w:rPr>
      </w:pPr>
      <w:r w:rsidRPr="00DA0EE6">
        <w:rPr>
          <w:rFonts w:cstheme="minorHAnsi"/>
          <w:noProof/>
          <w:lang w:val="en-GB"/>
        </w:rPr>
        <w:lastRenderedPageBreak/>
        <w:drawing>
          <wp:inline distT="0" distB="0" distL="0" distR="0" wp14:anchorId="74E7EC21" wp14:editId="005AA1D5">
            <wp:extent cx="5704294" cy="37851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4.png"/>
                    <pic:cNvPicPr/>
                  </pic:nvPicPr>
                  <pic:blipFill>
                    <a:blip r:embed="rId11">
                      <a:extLst>
                        <a:ext uri="{28A0092B-C50C-407E-A947-70E740481C1C}">
                          <a14:useLocalDpi xmlns:a14="http://schemas.microsoft.com/office/drawing/2010/main" val="0"/>
                        </a:ext>
                      </a:extLst>
                    </a:blip>
                    <a:stretch>
                      <a:fillRect/>
                    </a:stretch>
                  </pic:blipFill>
                  <pic:spPr>
                    <a:xfrm>
                      <a:off x="0" y="0"/>
                      <a:ext cx="5723477" cy="3797920"/>
                    </a:xfrm>
                    <a:prstGeom prst="rect">
                      <a:avLst/>
                    </a:prstGeom>
                  </pic:spPr>
                </pic:pic>
              </a:graphicData>
            </a:graphic>
          </wp:inline>
        </w:drawing>
      </w:r>
    </w:p>
    <w:p w14:paraId="513922DE"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w:t>
      </w:r>
      <w:r w:rsidRPr="00DA0EE6">
        <w:rPr>
          <w:rFonts w:asciiTheme="minorHAnsi" w:hAnsiTheme="minorHAnsi" w:cstheme="minorHAnsi"/>
          <w:lang w:val="en-GB"/>
        </w:rPr>
        <w:t xml:space="preserve"> </w:t>
      </w:r>
      <w:r w:rsidRPr="00DA0EE6">
        <w:rPr>
          <w:rFonts w:asciiTheme="minorHAnsi" w:hAnsiTheme="minorHAnsi" w:cstheme="minorHAnsi"/>
          <w:b/>
          <w:bCs/>
          <w:lang w:val="en-GB"/>
        </w:rPr>
        <w:t>YFT-03</w:t>
      </w:r>
      <w:r w:rsidRPr="00DA0EE6">
        <w:rPr>
          <w:rFonts w:asciiTheme="minorHAnsi" w:hAnsiTheme="minorHAnsi" w:cstheme="minorHAnsi"/>
          <w:lang w:val="en-GB"/>
        </w:rPr>
        <w:t>: Annual catches of yellowfin by gear type for each of the five model regions (Figure 4 from SC19-SA-WP-04).</w:t>
      </w:r>
    </w:p>
    <w:p w14:paraId="17FB7F15" w14:textId="77777777" w:rsidR="00DA0EE6" w:rsidRPr="00DA0EE6" w:rsidRDefault="00DA0EE6" w:rsidP="00DA0EE6">
      <w:pPr>
        <w:adjustRightInd w:val="0"/>
        <w:snapToGrid w:val="0"/>
        <w:rPr>
          <w:rFonts w:cstheme="minorHAnsi"/>
          <w:lang w:val="en-GB"/>
        </w:rPr>
      </w:pPr>
      <w:r w:rsidRPr="00DA0EE6">
        <w:rPr>
          <w:rFonts w:cstheme="minorHAnsi"/>
          <w:noProof/>
          <w:lang w:val="en-GB"/>
        </w:rPr>
        <w:lastRenderedPageBreak/>
        <w:drawing>
          <wp:inline distT="0" distB="0" distL="0" distR="0" wp14:anchorId="2FFF14F6" wp14:editId="67D3FE21">
            <wp:extent cx="5943600" cy="6598285"/>
            <wp:effectExtent l="0" t="0" r="0" b="0"/>
            <wp:docPr id="135913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598285"/>
                    </a:xfrm>
                    <a:prstGeom prst="rect">
                      <a:avLst/>
                    </a:prstGeom>
                    <a:noFill/>
                    <a:ln>
                      <a:noFill/>
                    </a:ln>
                  </pic:spPr>
                </pic:pic>
              </a:graphicData>
            </a:graphic>
          </wp:inline>
        </w:drawing>
      </w:r>
    </w:p>
    <w:p w14:paraId="264719B4"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 YFT-04</w:t>
      </w:r>
      <w:r w:rsidRPr="00DA0EE6">
        <w:rPr>
          <w:rFonts w:asciiTheme="minorHAnsi" w:hAnsiTheme="minorHAnsi" w:cstheme="minorHAnsi"/>
          <w:lang w:val="en-GB"/>
        </w:rPr>
        <w:t>: Time series of estimated annual spawning potential, recruitment and total biomass by model region for the diagnostic model, showing the relative proportions among regions. Note the data represent the averages of the quarterly model time steps for each year for spawning potential and total biomass and the sum of the quarterly recruitment estimates for annual recruitment (Figure 45 from SC19-SA-WP-04).</w:t>
      </w:r>
    </w:p>
    <w:p w14:paraId="10B1D666" w14:textId="77777777" w:rsidR="00DA0EE6" w:rsidRPr="00DA0EE6" w:rsidRDefault="00DA0EE6" w:rsidP="00DA0EE6">
      <w:pPr>
        <w:pStyle w:val="ListParagraph"/>
        <w:numPr>
          <w:ilvl w:val="0"/>
          <w:numId w:val="18"/>
        </w:numPr>
        <w:adjustRightInd w:val="0"/>
        <w:snapToGrid w:val="0"/>
        <w:jc w:val="both"/>
        <w:rPr>
          <w:rFonts w:asciiTheme="minorHAnsi" w:hAnsiTheme="minorHAnsi" w:cstheme="minorHAnsi"/>
          <w:lang w:val="en-GB"/>
        </w:rPr>
        <w:sectPr w:rsidR="00DA0EE6" w:rsidRPr="00DA0EE6" w:rsidSect="00E3363C">
          <w:footerReference w:type="default" r:id="rId13"/>
          <w:pgSz w:w="12240" w:h="15840" w:code="1"/>
          <w:pgMar w:top="1440" w:right="1440" w:bottom="1440" w:left="1440" w:header="720" w:footer="720" w:gutter="0"/>
          <w:cols w:space="720"/>
          <w:titlePg/>
          <w:docGrid w:linePitch="360"/>
        </w:sectPr>
      </w:pPr>
    </w:p>
    <w:p w14:paraId="117ACFE3" w14:textId="77777777" w:rsidR="00DA0EE6" w:rsidRPr="00DA0EE6" w:rsidRDefault="00DA0EE6" w:rsidP="00DA0EE6">
      <w:pPr>
        <w:pStyle w:val="WCPFCpara"/>
        <w:spacing w:after="0"/>
        <w:ind w:left="0" w:firstLine="0"/>
        <w:rPr>
          <w:rFonts w:asciiTheme="minorHAnsi" w:hAnsiTheme="minorHAnsi" w:cstheme="minorHAnsi"/>
        </w:rPr>
      </w:pPr>
      <w:r w:rsidRPr="00DA0EE6">
        <w:rPr>
          <w:rFonts w:asciiTheme="minorHAnsi" w:hAnsiTheme="minorHAnsi" w:cstheme="minorHAnsi"/>
          <w:noProof/>
        </w:rPr>
        <w:lastRenderedPageBreak/>
        <w:drawing>
          <wp:inline distT="0" distB="0" distL="0" distR="0" wp14:anchorId="4AC91B45" wp14:editId="2027F365">
            <wp:extent cx="4076700" cy="4531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8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82282" cy="4537615"/>
                    </a:xfrm>
                    <a:prstGeom prst="rect">
                      <a:avLst/>
                    </a:prstGeom>
                  </pic:spPr>
                </pic:pic>
              </a:graphicData>
            </a:graphic>
          </wp:inline>
        </w:drawing>
      </w:r>
      <w:r w:rsidRPr="00DA0EE6">
        <w:rPr>
          <w:rFonts w:asciiTheme="minorHAnsi" w:hAnsiTheme="minorHAnsi" w:cstheme="minorHAnsi"/>
          <w:noProof/>
        </w:rPr>
        <w:drawing>
          <wp:inline distT="0" distB="0" distL="0" distR="0" wp14:anchorId="37B12E8D" wp14:editId="2353AE4B">
            <wp:extent cx="4061803" cy="4514850"/>
            <wp:effectExtent l="0" t="0" r="0" b="0"/>
            <wp:docPr id="6" name="Picture 6" descr="A graph of a graph showing a number of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showing a number of blue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4266" cy="4528703"/>
                    </a:xfrm>
                    <a:prstGeom prst="rect">
                      <a:avLst/>
                    </a:prstGeom>
                  </pic:spPr>
                </pic:pic>
              </a:graphicData>
            </a:graphic>
          </wp:inline>
        </w:drawing>
      </w:r>
    </w:p>
    <w:p w14:paraId="2F860039"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 YFT-05</w:t>
      </w:r>
      <w:r w:rsidRPr="00DA0EE6">
        <w:rPr>
          <w:rFonts w:asciiTheme="minorHAnsi" w:hAnsiTheme="minorHAnsi" w:cstheme="minorHAnsi"/>
          <w:lang w:val="en-GB"/>
        </w:rPr>
        <w:t>: (Left) Trajectories of spawning potential depletion for the individual model runs included in the structural uncertainty grid over the period 1952-2021. (Right) Estimated spawning depletion across all models in the structural uncertainty grid over the period 1952-2021. The dashed line represents the median, the lighter band shows the 25th and 75th percentiles, and the dark band shows the 10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and 90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percentiles of the model estimates. The bar at the right of each ribbon indicates the median (black dots) with the 10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and 90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percentiles for </w:t>
      </w:r>
      <w:proofErr w:type="spellStart"/>
      <w:r w:rsidRPr="00DA0EE6">
        <w:rPr>
          <w:rFonts w:asciiTheme="minorHAnsi" w:hAnsiTheme="minorHAnsi" w:cstheme="minorHAnsi"/>
          <w:lang w:val="en-GB"/>
        </w:rPr>
        <w:t>SB</w:t>
      </w:r>
      <w:r w:rsidRPr="00DA0EE6">
        <w:rPr>
          <w:rFonts w:asciiTheme="minorHAnsi" w:hAnsiTheme="minorHAnsi" w:cstheme="minorHAnsi"/>
          <w:vertAlign w:val="subscript"/>
          <w:lang w:val="en-GB"/>
        </w:rPr>
        <w:t>recent</w:t>
      </w:r>
      <w:proofErr w:type="spellEnd"/>
      <w:r w:rsidRPr="00DA0EE6">
        <w:rPr>
          <w:rFonts w:asciiTheme="minorHAnsi" w:hAnsiTheme="minorHAnsi" w:cstheme="minorHAnsi"/>
          <w:lang w:val="en-GB"/>
        </w:rPr>
        <w:t>/SB</w:t>
      </w:r>
      <w:r w:rsidRPr="00DA0EE6">
        <w:rPr>
          <w:rFonts w:asciiTheme="minorHAnsi" w:hAnsiTheme="minorHAnsi" w:cstheme="minorHAnsi"/>
          <w:vertAlign w:val="subscript"/>
          <w:lang w:val="en-GB"/>
        </w:rPr>
        <w:t>F=0</w:t>
      </w:r>
      <w:r w:rsidRPr="00DA0EE6">
        <w:rPr>
          <w:rFonts w:asciiTheme="minorHAnsi" w:hAnsiTheme="minorHAnsi" w:cstheme="minorHAnsi"/>
          <w:lang w:val="en-GB"/>
        </w:rPr>
        <w:t xml:space="preserve"> (Figure 59 from SC19-SA-WP-04).</w:t>
      </w:r>
    </w:p>
    <w:p w14:paraId="42C34C7F" w14:textId="77777777" w:rsidR="00DA0EE6" w:rsidRPr="00DA0EE6" w:rsidRDefault="00DA0EE6" w:rsidP="00DA0EE6">
      <w:pPr>
        <w:pStyle w:val="ListParagraph"/>
        <w:numPr>
          <w:ilvl w:val="0"/>
          <w:numId w:val="18"/>
        </w:numPr>
        <w:adjustRightInd w:val="0"/>
        <w:snapToGrid w:val="0"/>
        <w:rPr>
          <w:rFonts w:asciiTheme="minorHAnsi" w:hAnsiTheme="minorHAnsi" w:cstheme="minorHAnsi"/>
          <w:lang w:val="en-GB"/>
        </w:rPr>
        <w:sectPr w:rsidR="00DA0EE6" w:rsidRPr="00DA0EE6" w:rsidSect="00E3363C">
          <w:pgSz w:w="15840" w:h="12240" w:orient="landscape" w:code="1"/>
          <w:pgMar w:top="1440" w:right="1440" w:bottom="1440" w:left="1440" w:header="720" w:footer="720" w:gutter="0"/>
          <w:cols w:space="720"/>
          <w:docGrid w:linePitch="360"/>
        </w:sectPr>
      </w:pPr>
    </w:p>
    <w:p w14:paraId="595A6A0B" w14:textId="77777777" w:rsidR="00DA0EE6" w:rsidRPr="00DA0EE6" w:rsidRDefault="00DA0EE6" w:rsidP="00DA0EE6">
      <w:pPr>
        <w:pStyle w:val="ListParagraph"/>
        <w:adjustRightInd w:val="0"/>
        <w:snapToGrid w:val="0"/>
        <w:ind w:left="360"/>
        <w:rPr>
          <w:rFonts w:asciiTheme="minorHAnsi" w:hAnsiTheme="minorHAnsi" w:cstheme="minorHAnsi"/>
          <w:lang w:val="en-GB"/>
        </w:rPr>
      </w:pPr>
      <w:r w:rsidRPr="00DA0EE6">
        <w:rPr>
          <w:rFonts w:asciiTheme="minorHAnsi" w:hAnsiTheme="minorHAnsi" w:cstheme="minorHAnsi"/>
          <w:noProof/>
          <w:lang w:val="en-GB"/>
        </w:rPr>
        <w:lastRenderedPageBreak/>
        <w:drawing>
          <wp:inline distT="0" distB="0" distL="0" distR="0" wp14:anchorId="5C522945" wp14:editId="5706147B">
            <wp:extent cx="4096011" cy="2926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4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13526" cy="2938821"/>
                    </a:xfrm>
                    <a:prstGeom prst="rect">
                      <a:avLst/>
                    </a:prstGeom>
                  </pic:spPr>
                </pic:pic>
              </a:graphicData>
            </a:graphic>
          </wp:inline>
        </w:drawing>
      </w:r>
    </w:p>
    <w:p w14:paraId="7CA313E4"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 YFT-06</w:t>
      </w:r>
      <w:r w:rsidRPr="00DA0EE6">
        <w:rPr>
          <w:rFonts w:asciiTheme="minorHAnsi" w:hAnsiTheme="minorHAnsi" w:cstheme="minorHAnsi"/>
          <w:lang w:val="en-GB"/>
        </w:rPr>
        <w:t>: Estimated annual average adult (solid line) and juvenile (dashed line) fishing mortality for the diagnostic model (Figure 50 from SC19-SA-WP-04).</w:t>
      </w:r>
    </w:p>
    <w:p w14:paraId="173F0140" w14:textId="77777777" w:rsidR="00DA0EE6" w:rsidRPr="00DA0EE6" w:rsidRDefault="00DA0EE6" w:rsidP="00DA0EE6">
      <w:pPr>
        <w:pStyle w:val="ListParagraph"/>
        <w:adjustRightInd w:val="0"/>
        <w:snapToGrid w:val="0"/>
        <w:ind w:left="360"/>
        <w:rPr>
          <w:rFonts w:asciiTheme="minorHAnsi" w:hAnsiTheme="minorHAnsi" w:cstheme="minorHAnsi"/>
          <w:lang w:val="en-GB"/>
        </w:rPr>
      </w:pPr>
    </w:p>
    <w:p w14:paraId="671FAB9F" w14:textId="77777777" w:rsidR="00DA0EE6" w:rsidRPr="00DA0EE6" w:rsidRDefault="00DA0EE6" w:rsidP="00DA0EE6">
      <w:pPr>
        <w:pStyle w:val="ListParagraph"/>
        <w:numPr>
          <w:ilvl w:val="0"/>
          <w:numId w:val="18"/>
        </w:numPr>
        <w:adjustRightInd w:val="0"/>
        <w:snapToGrid w:val="0"/>
        <w:jc w:val="center"/>
        <w:rPr>
          <w:rFonts w:asciiTheme="minorHAnsi" w:hAnsiTheme="minorHAnsi" w:cstheme="minorHAnsi"/>
          <w:lang w:val="en-GB"/>
        </w:rPr>
      </w:pPr>
      <w:r w:rsidRPr="00DA0EE6">
        <w:rPr>
          <w:rFonts w:asciiTheme="minorHAnsi" w:hAnsiTheme="minorHAnsi" w:cstheme="minorHAnsi"/>
          <w:noProof/>
          <w:lang w:val="en-GB"/>
        </w:rPr>
        <w:drawing>
          <wp:inline distT="0" distB="0" distL="0" distR="0" wp14:anchorId="1F4C996A" wp14:editId="58A62C1B">
            <wp:extent cx="4597052" cy="3931069"/>
            <wp:effectExtent l="0" t="0" r="0" b="0"/>
            <wp:docPr id="8" name="Picture 8" descr="A group of graphs showing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showing different regions&#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603963" cy="3936979"/>
                    </a:xfrm>
                    <a:prstGeom prst="rect">
                      <a:avLst/>
                    </a:prstGeom>
                  </pic:spPr>
                </pic:pic>
              </a:graphicData>
            </a:graphic>
          </wp:inline>
        </w:drawing>
      </w:r>
    </w:p>
    <w:p w14:paraId="4507D584" w14:textId="77777777" w:rsidR="00DA0EE6" w:rsidRPr="00DA0EE6" w:rsidRDefault="00DA0EE6" w:rsidP="00DA0EE6">
      <w:pPr>
        <w:pStyle w:val="ListParagraph"/>
        <w:numPr>
          <w:ilvl w:val="0"/>
          <w:numId w:val="18"/>
        </w:numPr>
        <w:adjustRightInd w:val="0"/>
        <w:snapToGrid w:val="0"/>
        <w:jc w:val="both"/>
        <w:rPr>
          <w:rFonts w:asciiTheme="minorHAnsi" w:hAnsiTheme="minorHAnsi" w:cstheme="minorHAnsi"/>
          <w:lang w:val="en-GB"/>
        </w:rPr>
      </w:pPr>
      <w:r w:rsidRPr="00DA0EE6">
        <w:rPr>
          <w:rFonts w:asciiTheme="minorHAnsi" w:hAnsiTheme="minorHAnsi" w:cstheme="minorHAnsi"/>
          <w:b/>
          <w:bCs/>
          <w:lang w:val="en-GB"/>
        </w:rPr>
        <w:t>Figure YFT-07</w:t>
      </w:r>
      <w:r w:rsidRPr="00DA0EE6">
        <w:rPr>
          <w:rFonts w:asciiTheme="minorHAnsi" w:hAnsiTheme="minorHAnsi" w:cstheme="minorHAnsi"/>
          <w:lang w:val="en-GB"/>
        </w:rPr>
        <w:t xml:space="preserve">: Estimates of reduction in spawning potential due to fishing (Fishery Impact = 1− </w:t>
      </w:r>
      <w:proofErr w:type="spellStart"/>
      <w:r w:rsidRPr="00DA0EE6">
        <w:rPr>
          <w:rFonts w:asciiTheme="minorHAnsi" w:hAnsiTheme="minorHAnsi" w:cstheme="minorHAnsi"/>
          <w:lang w:val="en-GB"/>
        </w:rPr>
        <w:t>SB</w:t>
      </w:r>
      <w:r w:rsidRPr="00DA0EE6">
        <w:rPr>
          <w:rFonts w:asciiTheme="minorHAnsi" w:hAnsiTheme="minorHAnsi" w:cstheme="minorHAnsi"/>
          <w:vertAlign w:val="subscript"/>
          <w:lang w:val="en-GB"/>
        </w:rPr>
        <w:t>t</w:t>
      </w:r>
      <w:proofErr w:type="spellEnd"/>
      <w:r w:rsidRPr="00DA0EE6">
        <w:rPr>
          <w:rFonts w:asciiTheme="minorHAnsi" w:hAnsiTheme="minorHAnsi" w:cstheme="minorHAnsi"/>
          <w:lang w:val="en-GB"/>
        </w:rPr>
        <w:t>/</w:t>
      </w:r>
      <w:proofErr w:type="spellStart"/>
      <w:r w:rsidRPr="00DA0EE6">
        <w:rPr>
          <w:rFonts w:asciiTheme="minorHAnsi" w:hAnsiTheme="minorHAnsi" w:cstheme="minorHAnsi"/>
          <w:lang w:val="en-GB"/>
        </w:rPr>
        <w:t>SB</w:t>
      </w:r>
      <w:r w:rsidRPr="00DA0EE6">
        <w:rPr>
          <w:rFonts w:asciiTheme="minorHAnsi" w:hAnsiTheme="minorHAnsi" w:cstheme="minorHAnsi"/>
          <w:vertAlign w:val="subscript"/>
          <w:lang w:val="en-GB"/>
        </w:rPr>
        <w:t>t,F</w:t>
      </w:r>
      <w:proofErr w:type="spellEnd"/>
      <w:r w:rsidRPr="00DA0EE6">
        <w:rPr>
          <w:rFonts w:asciiTheme="minorHAnsi" w:hAnsiTheme="minorHAnsi" w:cstheme="minorHAnsi"/>
          <w:vertAlign w:val="subscript"/>
          <w:lang w:val="en-GB"/>
        </w:rPr>
        <w:t>=0</w:t>
      </w:r>
      <w:r w:rsidRPr="00DA0EE6">
        <w:rPr>
          <w:rFonts w:asciiTheme="minorHAnsi" w:hAnsiTheme="minorHAnsi" w:cstheme="minorHAnsi"/>
          <w:lang w:val="en-GB"/>
        </w:rPr>
        <w:t xml:space="preserve">) by region, and over all regions (lower right panel), attributed to various fishery groups for the diagnostic model (Figure 66 from SC19-SA-WP-04).  </w:t>
      </w:r>
    </w:p>
    <w:p w14:paraId="5897123A" w14:textId="77777777" w:rsidR="00DA0EE6" w:rsidRPr="00DA0EE6" w:rsidRDefault="00DA0EE6" w:rsidP="00DA0EE6">
      <w:pPr>
        <w:pStyle w:val="ListParagraph"/>
        <w:numPr>
          <w:ilvl w:val="0"/>
          <w:numId w:val="18"/>
        </w:numPr>
        <w:adjustRightInd w:val="0"/>
        <w:snapToGrid w:val="0"/>
        <w:rPr>
          <w:rFonts w:asciiTheme="minorHAnsi" w:hAnsiTheme="minorHAnsi" w:cstheme="minorHAnsi"/>
          <w:lang w:val="en-GB"/>
        </w:rPr>
      </w:pPr>
      <w:r w:rsidRPr="00DA0EE6">
        <w:rPr>
          <w:rFonts w:asciiTheme="minorHAnsi" w:hAnsiTheme="minorHAnsi" w:cstheme="minorHAnsi"/>
          <w:lang w:val="en-GB"/>
        </w:rPr>
        <w:br w:type="page"/>
      </w:r>
    </w:p>
    <w:p w14:paraId="36A31CC7" w14:textId="77777777" w:rsidR="00DA0EE6" w:rsidRPr="00DA0EE6" w:rsidRDefault="00DA0EE6" w:rsidP="00DA0EE6">
      <w:pPr>
        <w:pStyle w:val="ListParagraph"/>
        <w:numPr>
          <w:ilvl w:val="0"/>
          <w:numId w:val="18"/>
        </w:numPr>
        <w:adjustRightInd w:val="0"/>
        <w:snapToGrid w:val="0"/>
        <w:rPr>
          <w:rFonts w:asciiTheme="minorHAnsi" w:hAnsiTheme="minorHAnsi" w:cstheme="minorHAnsi"/>
          <w:lang w:val="en-GB"/>
        </w:rPr>
        <w:sectPr w:rsidR="00DA0EE6" w:rsidRPr="00DA0EE6" w:rsidSect="00E3363C">
          <w:pgSz w:w="12240" w:h="15840" w:code="1"/>
          <w:pgMar w:top="1440" w:right="1440" w:bottom="1440" w:left="1440" w:header="720" w:footer="720" w:gutter="0"/>
          <w:cols w:space="720"/>
          <w:docGrid w:linePitch="360"/>
        </w:sectPr>
      </w:pPr>
    </w:p>
    <w:p w14:paraId="2A93D2BD" w14:textId="77777777" w:rsidR="00DA0EE6" w:rsidRPr="00DA0EE6" w:rsidRDefault="00DA0EE6" w:rsidP="00DA0EE6">
      <w:pPr>
        <w:adjustRightInd w:val="0"/>
        <w:snapToGrid w:val="0"/>
        <w:rPr>
          <w:rFonts w:cstheme="minorHAnsi"/>
          <w:lang w:val="en-GB"/>
        </w:rPr>
      </w:pPr>
      <w:r w:rsidRPr="00DA0EE6">
        <w:rPr>
          <w:rFonts w:cstheme="minorHAnsi"/>
          <w:noProof/>
          <w:lang w:val="en-GB"/>
        </w:rPr>
        <w:lastRenderedPageBreak/>
        <w:drawing>
          <wp:inline distT="0" distB="0" distL="0" distR="0" wp14:anchorId="79F6F547" wp14:editId="122C8D19">
            <wp:extent cx="4029075" cy="4478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59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7542" cy="4487884"/>
                    </a:xfrm>
                    <a:prstGeom prst="rect">
                      <a:avLst/>
                    </a:prstGeom>
                  </pic:spPr>
                </pic:pic>
              </a:graphicData>
            </a:graphic>
          </wp:inline>
        </w:drawing>
      </w:r>
      <w:r w:rsidRPr="00DA0EE6">
        <w:rPr>
          <w:rFonts w:cstheme="minorHAnsi"/>
          <w:noProof/>
          <w:lang w:val="en-GB"/>
        </w:rPr>
        <w:drawing>
          <wp:inline distT="0" distB="0" distL="0" distR="0" wp14:anchorId="522DA590" wp14:editId="3C3568F8">
            <wp:extent cx="4019550" cy="446788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_59b.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35049" cy="4485113"/>
                    </a:xfrm>
                    <a:prstGeom prst="rect">
                      <a:avLst/>
                    </a:prstGeom>
                  </pic:spPr>
                </pic:pic>
              </a:graphicData>
            </a:graphic>
          </wp:inline>
        </w:drawing>
      </w:r>
    </w:p>
    <w:p w14:paraId="04086B57"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 YFT-08</w:t>
      </w:r>
      <w:r w:rsidRPr="00DA0EE6">
        <w:rPr>
          <w:rFonts w:asciiTheme="minorHAnsi" w:hAnsiTheme="minorHAnsi" w:cstheme="minorHAnsi"/>
          <w:lang w:val="en-GB"/>
        </w:rPr>
        <w:t>: (Left) Trajectories of spawning potential for the individual model runs included in the structural uncertainty grid over the period 1952-2021. (Right) Estimated spawning potential across all models in the structural uncertainty grid over the period 1952-2021. The dashed line represents the median, the lighter band shows the 25th and 75th percentiles, and the dark band shows the 10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and 90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percentiles of the model estimates. The bar at the right of each ribbon indicates the median (black dots) with the 10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and 90</w:t>
      </w:r>
      <w:r w:rsidRPr="00DA0EE6">
        <w:rPr>
          <w:rFonts w:asciiTheme="minorHAnsi" w:hAnsiTheme="minorHAnsi" w:cstheme="minorHAnsi"/>
          <w:vertAlign w:val="superscript"/>
          <w:lang w:val="en-GB"/>
        </w:rPr>
        <w:t>th</w:t>
      </w:r>
      <w:r w:rsidRPr="00DA0EE6">
        <w:rPr>
          <w:rFonts w:asciiTheme="minorHAnsi" w:hAnsiTheme="minorHAnsi" w:cstheme="minorHAnsi"/>
          <w:lang w:val="en-GB"/>
        </w:rPr>
        <w:t xml:space="preserve"> percentiles for </w:t>
      </w:r>
      <w:proofErr w:type="spellStart"/>
      <w:r w:rsidRPr="00DA0EE6">
        <w:rPr>
          <w:rFonts w:asciiTheme="minorHAnsi" w:hAnsiTheme="minorHAnsi" w:cstheme="minorHAnsi"/>
          <w:lang w:val="en-GB"/>
        </w:rPr>
        <w:t>SB</w:t>
      </w:r>
      <w:r w:rsidRPr="00DA0EE6">
        <w:rPr>
          <w:rFonts w:asciiTheme="minorHAnsi" w:hAnsiTheme="minorHAnsi" w:cstheme="minorHAnsi"/>
          <w:vertAlign w:val="subscript"/>
          <w:lang w:val="en-GB"/>
        </w:rPr>
        <w:t>recent</w:t>
      </w:r>
      <w:proofErr w:type="spellEnd"/>
      <w:r w:rsidRPr="00DA0EE6">
        <w:rPr>
          <w:rFonts w:asciiTheme="minorHAnsi" w:hAnsiTheme="minorHAnsi" w:cstheme="minorHAnsi"/>
          <w:lang w:val="en-GB"/>
        </w:rPr>
        <w:t xml:space="preserve"> (Figure 60 from SC19-SA-WP-04).</w:t>
      </w:r>
    </w:p>
    <w:p w14:paraId="520A9171" w14:textId="77777777" w:rsidR="00DA0EE6" w:rsidRPr="00DA0EE6" w:rsidRDefault="00DA0EE6" w:rsidP="00DA0EE6">
      <w:pPr>
        <w:pStyle w:val="ListParagraph"/>
        <w:numPr>
          <w:ilvl w:val="0"/>
          <w:numId w:val="18"/>
        </w:numPr>
        <w:adjustRightInd w:val="0"/>
        <w:snapToGrid w:val="0"/>
        <w:rPr>
          <w:rFonts w:asciiTheme="minorHAnsi" w:hAnsiTheme="minorHAnsi" w:cstheme="minorHAnsi"/>
          <w:lang w:val="en-GB"/>
        </w:rPr>
        <w:sectPr w:rsidR="00DA0EE6" w:rsidRPr="00DA0EE6" w:rsidSect="00E3363C">
          <w:pgSz w:w="15840" w:h="12240" w:orient="landscape" w:code="1"/>
          <w:pgMar w:top="1440" w:right="1440" w:bottom="1440" w:left="1440" w:header="720" w:footer="720" w:gutter="0"/>
          <w:cols w:space="720"/>
          <w:docGrid w:linePitch="360"/>
        </w:sectPr>
      </w:pPr>
    </w:p>
    <w:p w14:paraId="7A7A75A9" w14:textId="77777777" w:rsidR="00DA0EE6" w:rsidRPr="00DA0EE6" w:rsidRDefault="00DA0EE6" w:rsidP="00DA0EE6">
      <w:pPr>
        <w:adjustRightInd w:val="0"/>
        <w:snapToGrid w:val="0"/>
        <w:jc w:val="center"/>
        <w:rPr>
          <w:rFonts w:cstheme="minorHAnsi"/>
          <w:lang w:val="en-GB"/>
        </w:rPr>
      </w:pPr>
      <w:r w:rsidRPr="00DA0EE6">
        <w:rPr>
          <w:rFonts w:cstheme="minorHAnsi"/>
          <w:noProof/>
        </w:rPr>
        <w:lastRenderedPageBreak/>
        <w:drawing>
          <wp:inline distT="0" distB="0" distL="0" distR="0" wp14:anchorId="6808BBE5" wp14:editId="321D3D2C">
            <wp:extent cx="4038683" cy="3230515"/>
            <wp:effectExtent l="0" t="0" r="0" b="8255"/>
            <wp:docPr id="1922720882" name="Picture 1922720882" descr="A graph of a number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different colored squar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8256" cy="3246171"/>
                    </a:xfrm>
                    <a:prstGeom prst="rect">
                      <a:avLst/>
                    </a:prstGeom>
                    <a:noFill/>
                    <a:ln>
                      <a:noFill/>
                    </a:ln>
                  </pic:spPr>
                </pic:pic>
              </a:graphicData>
            </a:graphic>
          </wp:inline>
        </w:drawing>
      </w:r>
      <w:r w:rsidRPr="00DA0EE6">
        <w:rPr>
          <w:rFonts w:cstheme="minorHAnsi"/>
          <w:noProof/>
        </w:rPr>
        <w:drawing>
          <wp:inline distT="0" distB="0" distL="0" distR="0" wp14:anchorId="26C099ED" wp14:editId="45DDE3E0">
            <wp:extent cx="3964021" cy="3170371"/>
            <wp:effectExtent l="0" t="0" r="0" b="0"/>
            <wp:docPr id="17" name="Picture 17" descr="A map of the isl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map of the island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8004" cy="3205548"/>
                    </a:xfrm>
                    <a:prstGeom prst="rect">
                      <a:avLst/>
                    </a:prstGeom>
                    <a:noFill/>
                    <a:ln>
                      <a:noFill/>
                    </a:ln>
                  </pic:spPr>
                </pic:pic>
              </a:graphicData>
            </a:graphic>
          </wp:inline>
        </w:drawing>
      </w:r>
    </w:p>
    <w:p w14:paraId="4700DDE3" w14:textId="77777777" w:rsidR="00DA0EE6" w:rsidRPr="00DA0EE6" w:rsidRDefault="00DA0EE6" w:rsidP="00DA0EE6">
      <w:pPr>
        <w:pStyle w:val="ListParagraph"/>
        <w:numPr>
          <w:ilvl w:val="0"/>
          <w:numId w:val="18"/>
        </w:numPr>
        <w:adjustRightInd w:val="0"/>
        <w:snapToGrid w:val="0"/>
        <w:jc w:val="center"/>
        <w:rPr>
          <w:rFonts w:asciiTheme="minorHAnsi" w:hAnsiTheme="minorHAnsi" w:cstheme="minorHAnsi"/>
          <w:lang w:val="en-GB"/>
        </w:rPr>
      </w:pPr>
    </w:p>
    <w:p w14:paraId="074D334C" w14:textId="77777777" w:rsidR="00DA0EE6" w:rsidRPr="00DA0EE6" w:rsidRDefault="00DA0EE6" w:rsidP="00DA0EE6">
      <w:pPr>
        <w:pStyle w:val="ListParagraph"/>
        <w:adjustRightInd w:val="0"/>
        <w:snapToGrid w:val="0"/>
        <w:ind w:left="360"/>
        <w:jc w:val="both"/>
        <w:rPr>
          <w:rFonts w:asciiTheme="minorHAnsi" w:hAnsiTheme="minorHAnsi" w:cstheme="minorHAnsi"/>
          <w:lang w:val="en-GB"/>
        </w:rPr>
      </w:pPr>
      <w:r w:rsidRPr="00DA0EE6">
        <w:rPr>
          <w:rFonts w:asciiTheme="minorHAnsi" w:hAnsiTheme="minorHAnsi" w:cstheme="minorHAnsi"/>
          <w:b/>
          <w:bCs/>
          <w:lang w:val="en-GB"/>
        </w:rPr>
        <w:t>Figure YFT-09</w:t>
      </w:r>
      <w:r w:rsidRPr="00DA0EE6">
        <w:rPr>
          <w:rFonts w:asciiTheme="minorHAnsi" w:hAnsiTheme="minorHAnsi" w:cstheme="minorHAnsi"/>
          <w:lang w:val="en-GB"/>
        </w:rPr>
        <w:t>: Majuro plot (top) and Kobe plot (bottom) summarising the results for each of the models in the structural uncertainty grid for the recent period (2018-2021). The yellow point is the 2023 diagnostic model and the red point is the median (Figure 64 from SC19-SA-WP-04).</w:t>
      </w:r>
    </w:p>
    <w:p w14:paraId="37B59851" w14:textId="77777777" w:rsidR="00DA0EE6" w:rsidRPr="00DA0EE6" w:rsidRDefault="00DA0EE6" w:rsidP="00DA0EE6">
      <w:pPr>
        <w:adjustRightInd w:val="0"/>
        <w:snapToGrid w:val="0"/>
        <w:jc w:val="center"/>
        <w:rPr>
          <w:rFonts w:cstheme="minorHAnsi"/>
          <w:lang w:val="en-GB"/>
        </w:rPr>
      </w:pPr>
      <w:r w:rsidRPr="00DA0EE6">
        <w:rPr>
          <w:rFonts w:cstheme="minorHAnsi"/>
          <w:noProof/>
        </w:rPr>
        <w:lastRenderedPageBreak/>
        <w:drawing>
          <wp:inline distT="0" distB="0" distL="0" distR="0" wp14:anchorId="6C7BECDA" wp14:editId="693A5749">
            <wp:extent cx="4572000" cy="3786274"/>
            <wp:effectExtent l="0" t="0" r="0" b="0"/>
            <wp:docPr id="139716282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829" name="Picture 1" descr="A graph of different colored lines&#10;&#10;Description automatically generated"/>
                    <pic:cNvPicPr/>
                  </pic:nvPicPr>
                  <pic:blipFill rotWithShape="1">
                    <a:blip r:embed="rId22"/>
                    <a:srcRect t="10561" b="8061"/>
                    <a:stretch/>
                  </pic:blipFill>
                  <pic:spPr bwMode="auto">
                    <a:xfrm>
                      <a:off x="0" y="0"/>
                      <a:ext cx="4588091" cy="3799599"/>
                    </a:xfrm>
                    <a:prstGeom prst="rect">
                      <a:avLst/>
                    </a:prstGeom>
                    <a:ln>
                      <a:noFill/>
                    </a:ln>
                    <a:extLst>
                      <a:ext uri="{53640926-AAD7-44D8-BBD7-CCE9431645EC}">
                        <a14:shadowObscured xmlns:a14="http://schemas.microsoft.com/office/drawing/2010/main"/>
                      </a:ext>
                    </a:extLst>
                  </pic:spPr>
                </pic:pic>
              </a:graphicData>
            </a:graphic>
          </wp:inline>
        </w:drawing>
      </w:r>
    </w:p>
    <w:p w14:paraId="4CA12D9F" w14:textId="77777777" w:rsidR="00DA0EE6" w:rsidRPr="00DA0EE6" w:rsidRDefault="00DA0EE6" w:rsidP="00DA0EE6">
      <w:pPr>
        <w:pStyle w:val="ListParagraph"/>
        <w:adjustRightInd w:val="0"/>
        <w:snapToGrid w:val="0"/>
        <w:ind w:left="360"/>
        <w:jc w:val="both"/>
        <w:rPr>
          <w:rFonts w:asciiTheme="minorHAnsi" w:hAnsiTheme="minorHAnsi" w:cstheme="minorHAnsi"/>
        </w:rPr>
      </w:pPr>
      <w:r w:rsidRPr="00DA0EE6">
        <w:rPr>
          <w:rFonts w:asciiTheme="minorHAnsi" w:hAnsiTheme="minorHAnsi" w:cstheme="minorHAnsi"/>
          <w:b/>
          <w:bCs/>
          <w:lang w:val="en-GB"/>
        </w:rPr>
        <w:t>Figure YFT-10</w:t>
      </w:r>
      <w:r w:rsidRPr="00DA0EE6">
        <w:rPr>
          <w:rFonts w:asciiTheme="minorHAnsi" w:hAnsiTheme="minorHAnsi" w:cstheme="minorHAnsi"/>
          <w:lang w:val="en-GB"/>
        </w:rPr>
        <w:t xml:space="preserve">: </w:t>
      </w:r>
      <w:r w:rsidRPr="00DA0EE6">
        <w:rPr>
          <w:rFonts w:asciiTheme="minorHAnsi" w:hAnsiTheme="minorHAnsi" w:cstheme="minorHAnsi"/>
        </w:rPr>
        <w:t xml:space="preserve">History of the annual estimates of MSY (red line) for the diagnostic model compared with annual catch by the main gear types. Note that this is a ‘dynamic’ MSY  </w:t>
      </w:r>
      <w:r w:rsidRPr="00DA0EE6">
        <w:rPr>
          <w:rFonts w:asciiTheme="minorHAnsi" w:hAnsiTheme="minorHAnsi" w:cstheme="minorHAnsi"/>
          <w:lang w:val="en-GB"/>
        </w:rPr>
        <w:t>(Figure 68 from SC19-SA-WP-04)</w:t>
      </w:r>
      <w:r w:rsidRPr="00DA0EE6">
        <w:rPr>
          <w:rFonts w:asciiTheme="minorHAnsi" w:hAnsiTheme="minorHAnsi" w:cstheme="minorHAnsi"/>
        </w:rPr>
        <w:t>.</w:t>
      </w:r>
    </w:p>
    <w:p w14:paraId="5E601091" w14:textId="77777777" w:rsidR="00DA0EE6" w:rsidRPr="00DA0EE6" w:rsidRDefault="00DA0EE6" w:rsidP="00DA0EE6">
      <w:pPr>
        <w:pStyle w:val="Heading5"/>
        <w:keepNext w:val="0"/>
        <w:keepLines w:val="0"/>
        <w:widowControl w:val="0"/>
        <w:adjustRightInd w:val="0"/>
        <w:snapToGrid w:val="0"/>
        <w:spacing w:before="0"/>
        <w:ind w:left="360"/>
        <w:rPr>
          <w:rFonts w:asciiTheme="minorHAnsi" w:hAnsiTheme="minorHAnsi" w:cstheme="minorHAnsi"/>
        </w:rPr>
      </w:pPr>
    </w:p>
    <w:p w14:paraId="09005AF4" w14:textId="77777777" w:rsidR="00DA0EE6" w:rsidRPr="00DA0EE6" w:rsidRDefault="00DA0EE6" w:rsidP="00DA0EE6">
      <w:pPr>
        <w:rPr>
          <w:rFonts w:eastAsia="Batang" w:cstheme="minorHAnsi"/>
          <w:b/>
          <w:bCs/>
          <w:lang w:eastAsia="ko-KR"/>
        </w:rPr>
      </w:pPr>
    </w:p>
    <w:p w14:paraId="73A8E240" w14:textId="12C79E03" w:rsidR="00DA0EE6" w:rsidRPr="00DA0EE6" w:rsidRDefault="00DA0EE6" w:rsidP="00DA0EE6">
      <w:pPr>
        <w:pStyle w:val="ListParagraph"/>
        <w:numPr>
          <w:ilvl w:val="0"/>
          <w:numId w:val="19"/>
        </w:numPr>
        <w:rPr>
          <w:rFonts w:asciiTheme="minorHAnsi" w:eastAsia="Batang" w:hAnsiTheme="minorHAnsi" w:cstheme="minorHAnsi"/>
          <w:b/>
          <w:bCs/>
          <w:lang w:eastAsia="ko-KR"/>
        </w:rPr>
      </w:pPr>
      <w:r w:rsidRPr="00DA0EE6">
        <w:rPr>
          <w:rFonts w:asciiTheme="minorHAnsi" w:eastAsia="Batang" w:hAnsiTheme="minorHAnsi" w:cstheme="minorHAnsi"/>
          <w:b/>
          <w:bCs/>
          <w:lang w:eastAsia="ko-KR"/>
        </w:rPr>
        <w:t>Management advice and implications</w:t>
      </w:r>
    </w:p>
    <w:p w14:paraId="1E2B6284" w14:textId="77777777" w:rsidR="00DA0EE6" w:rsidRPr="00DA0EE6" w:rsidRDefault="00DA0EE6" w:rsidP="00DA0EE6">
      <w:pPr>
        <w:pStyle w:val="ListParagraph"/>
        <w:ind w:left="360"/>
        <w:rPr>
          <w:rFonts w:asciiTheme="minorHAnsi" w:eastAsia="Batang" w:hAnsiTheme="minorHAnsi" w:cstheme="minorHAnsi"/>
          <w:b/>
          <w:bCs/>
          <w:lang w:eastAsia="ko-KR"/>
        </w:rPr>
      </w:pPr>
    </w:p>
    <w:p w14:paraId="77CB6AC1"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WCPO yellowfin tuna</w:t>
      </w:r>
      <w:r w:rsidRPr="00DA0EE6" w:rsidDel="00C74826">
        <w:rPr>
          <w:rFonts w:asciiTheme="minorHAnsi" w:hAnsiTheme="minorHAnsi" w:cstheme="minorHAnsi"/>
        </w:rPr>
        <w:t xml:space="preserve"> </w:t>
      </w:r>
      <w:r w:rsidRPr="00DA0EE6">
        <w:rPr>
          <w:rFonts w:asciiTheme="minorHAnsi" w:hAnsiTheme="minorHAnsi" w:cstheme="minorHAnsi"/>
        </w:rPr>
        <w:t>spawning biomass is above the LRP and recent F is below F</w:t>
      </w:r>
      <w:r w:rsidRPr="00DA0EE6">
        <w:rPr>
          <w:rFonts w:asciiTheme="minorHAnsi" w:hAnsiTheme="minorHAnsi" w:cstheme="minorHAnsi"/>
          <w:vertAlign w:val="subscript"/>
        </w:rPr>
        <w:t>MSY</w:t>
      </w:r>
      <w:r w:rsidRPr="00DA0EE6">
        <w:rPr>
          <w:rFonts w:asciiTheme="minorHAnsi" w:hAnsiTheme="minorHAnsi" w:cstheme="minorHAnsi"/>
        </w:rPr>
        <w:t xml:space="preserve"> based on the uncertainty grid, The stock is not experiencing overfishing (100% probability </w:t>
      </w:r>
      <w:proofErr w:type="spellStart"/>
      <w:r w:rsidRPr="00DA0EE6">
        <w:rPr>
          <w:rFonts w:asciiTheme="minorHAnsi" w:hAnsiTheme="minorHAnsi" w:cstheme="minorHAnsi"/>
        </w:rPr>
        <w:t>F</w:t>
      </w:r>
      <w:r w:rsidRPr="00DA0EE6">
        <w:rPr>
          <w:rFonts w:asciiTheme="minorHAnsi" w:hAnsiTheme="minorHAnsi" w:cstheme="minorHAnsi"/>
          <w:vertAlign w:val="subscript"/>
        </w:rPr>
        <w:t>recent</w:t>
      </w:r>
      <w:proofErr w:type="spellEnd"/>
      <w:r w:rsidRPr="00DA0EE6">
        <w:rPr>
          <w:rFonts w:asciiTheme="minorHAnsi" w:hAnsiTheme="minorHAnsi" w:cstheme="minorHAnsi"/>
        </w:rPr>
        <w:t>&lt;F</w:t>
      </w:r>
      <w:r w:rsidRPr="00DA0EE6">
        <w:rPr>
          <w:rFonts w:asciiTheme="minorHAnsi" w:hAnsiTheme="minorHAnsi" w:cstheme="minorHAnsi"/>
          <w:vertAlign w:val="subscript"/>
        </w:rPr>
        <w:t>MSY</w:t>
      </w:r>
      <w:r w:rsidRPr="00DA0EE6">
        <w:rPr>
          <w:rFonts w:asciiTheme="minorHAnsi" w:hAnsiTheme="minorHAnsi" w:cstheme="minorHAnsi"/>
        </w:rPr>
        <w:t xml:space="preserve">) and is not in an overfished condition (0% probability </w:t>
      </w:r>
      <w:proofErr w:type="spellStart"/>
      <w:r w:rsidRPr="00DA0EE6">
        <w:rPr>
          <w:rFonts w:asciiTheme="minorHAnsi" w:hAnsiTheme="minorHAnsi" w:cstheme="minorHAnsi"/>
        </w:rPr>
        <w:t>SB</w:t>
      </w:r>
      <w:r w:rsidRPr="00DA0EE6">
        <w:rPr>
          <w:rFonts w:asciiTheme="minorHAnsi" w:hAnsiTheme="minorHAnsi" w:cstheme="minorHAnsi"/>
          <w:vertAlign w:val="subscript"/>
        </w:rPr>
        <w:t>recent</w:t>
      </w:r>
      <w:proofErr w:type="spellEnd"/>
      <w:r w:rsidRPr="00DA0EE6">
        <w:rPr>
          <w:rFonts w:asciiTheme="minorHAnsi" w:hAnsiTheme="minorHAnsi" w:cstheme="minorHAnsi"/>
        </w:rPr>
        <w:t>/SB</w:t>
      </w:r>
      <w:r w:rsidRPr="00DA0EE6">
        <w:rPr>
          <w:rFonts w:asciiTheme="minorHAnsi" w:hAnsiTheme="minorHAnsi" w:cstheme="minorHAnsi"/>
          <w:vertAlign w:val="subscript"/>
        </w:rPr>
        <w:t>F=0</w:t>
      </w:r>
      <w:r w:rsidRPr="00DA0EE6">
        <w:rPr>
          <w:rFonts w:asciiTheme="minorHAnsi" w:hAnsiTheme="minorHAnsi" w:cstheme="minorHAnsi"/>
        </w:rPr>
        <w:t xml:space="preserve">&lt;LRP).  </w:t>
      </w:r>
    </w:p>
    <w:p w14:paraId="51CB5BCF" w14:textId="77777777" w:rsidR="00DA0EE6" w:rsidRPr="00DA0EE6" w:rsidRDefault="00DA0EE6" w:rsidP="00DA0EE6">
      <w:pPr>
        <w:pStyle w:val="WCPFCpara"/>
        <w:spacing w:after="0"/>
        <w:ind w:left="0" w:firstLine="0"/>
        <w:rPr>
          <w:rFonts w:asciiTheme="minorHAnsi" w:hAnsiTheme="minorHAnsi" w:cstheme="minorHAnsi"/>
        </w:rPr>
      </w:pPr>
    </w:p>
    <w:p w14:paraId="018DEB0C"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objective for yellowfin tuna in CMM 2021-01 (the Tropical Tuna Measure) to maintain the spawning biomass depletion ratio at or above the average SB/SB</w:t>
      </w:r>
      <w:r w:rsidRPr="00DA0EE6">
        <w:rPr>
          <w:rFonts w:asciiTheme="minorHAnsi" w:hAnsiTheme="minorHAnsi" w:cstheme="minorHAnsi"/>
          <w:vertAlign w:val="subscript"/>
        </w:rPr>
        <w:t>F=0</w:t>
      </w:r>
      <w:r w:rsidRPr="00DA0EE6">
        <w:rPr>
          <w:rFonts w:asciiTheme="minorHAnsi" w:hAnsiTheme="minorHAnsi" w:cstheme="minorHAnsi"/>
        </w:rPr>
        <w:t xml:space="preserve"> for 2012-2015 is being achieved.  </w:t>
      </w:r>
      <w:proofErr w:type="spellStart"/>
      <w:r w:rsidRPr="00DA0EE6">
        <w:rPr>
          <w:rFonts w:asciiTheme="minorHAnsi" w:hAnsiTheme="minorHAnsi" w:cstheme="minorHAnsi"/>
          <w:color w:val="000000"/>
        </w:rPr>
        <w:t>SB</w:t>
      </w:r>
      <w:r w:rsidRPr="00DA0EE6">
        <w:rPr>
          <w:rFonts w:asciiTheme="minorHAnsi" w:hAnsiTheme="minorHAnsi" w:cstheme="minorHAnsi"/>
          <w:color w:val="000000"/>
          <w:vertAlign w:val="subscript"/>
        </w:rPr>
        <w:t>recent</w:t>
      </w:r>
      <w:proofErr w:type="spellEnd"/>
      <w:r w:rsidRPr="00DA0EE6">
        <w:rPr>
          <w:rFonts w:asciiTheme="minorHAnsi" w:hAnsiTheme="minorHAnsi" w:cstheme="minorHAnsi"/>
          <w:color w:val="000000"/>
        </w:rPr>
        <w:t>/SB</w:t>
      </w:r>
      <w:r w:rsidRPr="00DA0EE6">
        <w:rPr>
          <w:rFonts w:asciiTheme="minorHAnsi" w:hAnsiTheme="minorHAnsi" w:cstheme="minorHAnsi"/>
          <w:color w:val="000000"/>
          <w:vertAlign w:val="subscript"/>
        </w:rPr>
        <w:t xml:space="preserve">F=0 </w:t>
      </w:r>
      <w:r w:rsidRPr="00DA0EE6">
        <w:rPr>
          <w:rFonts w:asciiTheme="minorHAnsi" w:hAnsiTheme="minorHAnsi" w:cstheme="minorHAnsi"/>
          <w:color w:val="000000"/>
        </w:rPr>
        <w:t>(47%) exceeds the average SB/SB</w:t>
      </w:r>
      <w:r w:rsidRPr="00DA0EE6">
        <w:rPr>
          <w:rFonts w:asciiTheme="minorHAnsi" w:hAnsiTheme="minorHAnsi" w:cstheme="minorHAnsi"/>
          <w:color w:val="000000"/>
          <w:vertAlign w:val="subscript"/>
        </w:rPr>
        <w:t xml:space="preserve">F=0 </w:t>
      </w:r>
      <w:r w:rsidRPr="00DA0EE6">
        <w:rPr>
          <w:rFonts w:asciiTheme="minorHAnsi" w:hAnsiTheme="minorHAnsi" w:cstheme="minorHAnsi"/>
          <w:color w:val="000000"/>
        </w:rPr>
        <w:t xml:space="preserve">for 2012-2015 </w:t>
      </w:r>
      <w:r w:rsidRPr="00DA0EE6">
        <w:rPr>
          <w:rFonts w:asciiTheme="minorHAnsi" w:hAnsiTheme="minorHAnsi" w:cstheme="minorHAnsi"/>
        </w:rPr>
        <w:t xml:space="preserve">(44% </w:t>
      </w:r>
      <w:r w:rsidRPr="00DA0EE6">
        <w:rPr>
          <w:rFonts w:asciiTheme="minorHAnsi" w:hAnsiTheme="minorHAnsi" w:cstheme="minorHAnsi"/>
          <w:color w:val="000000"/>
        </w:rPr>
        <w:t>calculated</w:t>
      </w:r>
      <w:r w:rsidRPr="00DA0EE6">
        <w:rPr>
          <w:rFonts w:asciiTheme="minorHAnsi" w:hAnsiTheme="minorHAnsi" w:cstheme="minorHAnsi"/>
        </w:rPr>
        <w:t xml:space="preserve"> across the unweighted grid). </w:t>
      </w:r>
    </w:p>
    <w:p w14:paraId="3C7ECC7A" w14:textId="77777777" w:rsidR="00DA0EE6" w:rsidRPr="00DA0EE6" w:rsidRDefault="00DA0EE6" w:rsidP="00DA0EE6">
      <w:pPr>
        <w:pStyle w:val="WCPFCpara"/>
        <w:spacing w:after="0"/>
        <w:ind w:left="0" w:firstLine="0"/>
        <w:rPr>
          <w:rFonts w:asciiTheme="minorHAnsi" w:hAnsiTheme="minorHAnsi" w:cstheme="minorHAnsi"/>
        </w:rPr>
      </w:pPr>
    </w:p>
    <w:p w14:paraId="67774919" w14:textId="77777777" w:rsidR="00DA0EE6" w:rsidRPr="00DA0EE6" w:rsidRDefault="00DA0EE6" w:rsidP="00DA0EE6">
      <w:pPr>
        <w:pStyle w:val="WCPFCpara"/>
        <w:numPr>
          <w:ilvl w:val="0"/>
          <w:numId w:val="21"/>
        </w:numPr>
        <w:spacing w:after="0"/>
        <w:ind w:left="0" w:firstLine="0"/>
        <w:rPr>
          <w:rStyle w:val="CommentReference"/>
          <w:rFonts w:asciiTheme="minorHAnsi" w:hAnsiTheme="minorHAnsi" w:cstheme="minorHAnsi"/>
        </w:rPr>
      </w:pPr>
      <w:r w:rsidRPr="00DA0EE6">
        <w:rPr>
          <w:rFonts w:asciiTheme="minorHAnsi" w:hAnsiTheme="minorHAnsi" w:cstheme="minorHAnsi"/>
        </w:rPr>
        <w:t>SC19 recommends stochastic projections based on the adopted yellowfin tuna</w:t>
      </w:r>
      <w:r w:rsidRPr="00DA0EE6" w:rsidDel="00C74826">
        <w:rPr>
          <w:rFonts w:asciiTheme="minorHAnsi" w:hAnsiTheme="minorHAnsi" w:cstheme="minorHAnsi"/>
        </w:rPr>
        <w:t xml:space="preserve"> </w:t>
      </w:r>
      <w:r w:rsidRPr="00DA0EE6">
        <w:rPr>
          <w:rFonts w:asciiTheme="minorHAnsi" w:hAnsiTheme="minorHAnsi" w:cstheme="minorHAnsi"/>
        </w:rPr>
        <w:t xml:space="preserve">grid be undertaken by the SSP and provided to the </w:t>
      </w:r>
      <w:r w:rsidRPr="00DA0EE6">
        <w:rPr>
          <w:rFonts w:asciiTheme="minorHAnsi" w:hAnsiTheme="minorHAnsi" w:cstheme="minorHAnsi"/>
          <w:color w:val="000000"/>
        </w:rPr>
        <w:t>Commission for their consideration</w:t>
      </w:r>
      <w:r w:rsidRPr="00DA0EE6">
        <w:rPr>
          <w:rStyle w:val="CommentReference"/>
          <w:rFonts w:asciiTheme="minorHAnsi" w:hAnsiTheme="minorHAnsi" w:cstheme="minorHAnsi"/>
          <w:b/>
          <w:bCs/>
        </w:rPr>
        <w:t xml:space="preserve">.  </w:t>
      </w:r>
      <w:r w:rsidRPr="00DA0EE6">
        <w:rPr>
          <w:rStyle w:val="CommentReference"/>
          <w:rFonts w:asciiTheme="minorHAnsi" w:hAnsiTheme="minorHAnsi" w:cstheme="minorHAnsi"/>
          <w:bCs/>
        </w:rPr>
        <w:t xml:space="preserve"> </w:t>
      </w:r>
    </w:p>
    <w:p w14:paraId="663C3526" w14:textId="77777777" w:rsidR="00DA0EE6" w:rsidRPr="00DA0EE6" w:rsidRDefault="00DA0EE6" w:rsidP="00DA0EE6">
      <w:pPr>
        <w:pStyle w:val="WCPFCpara"/>
        <w:spacing w:after="0"/>
        <w:ind w:left="0" w:firstLine="0"/>
        <w:rPr>
          <w:rFonts w:asciiTheme="minorHAnsi" w:hAnsiTheme="minorHAnsi" w:cstheme="minorHAnsi"/>
        </w:rPr>
      </w:pPr>
    </w:p>
    <w:p w14:paraId="2ECFD051"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The interim objective for the yellowfin tuna</w:t>
      </w:r>
      <w:r w:rsidRPr="00DA0EE6" w:rsidDel="00C74826">
        <w:rPr>
          <w:rFonts w:asciiTheme="minorHAnsi" w:hAnsiTheme="minorHAnsi" w:cstheme="minorHAnsi"/>
        </w:rPr>
        <w:t xml:space="preserve"> </w:t>
      </w:r>
      <w:r w:rsidRPr="00DA0EE6">
        <w:rPr>
          <w:rFonts w:asciiTheme="minorHAnsi" w:hAnsiTheme="minorHAnsi" w:cstheme="minorHAnsi"/>
        </w:rPr>
        <w:t>stock under CMM 2022-01 is to maintain the depletion level of the stock at or above the average SB/SB</w:t>
      </w:r>
      <w:r w:rsidRPr="00DA0EE6">
        <w:rPr>
          <w:rFonts w:asciiTheme="minorHAnsi" w:hAnsiTheme="minorHAnsi" w:cstheme="minorHAnsi"/>
          <w:vertAlign w:val="subscript"/>
        </w:rPr>
        <w:t>F=0</w:t>
      </w:r>
      <w:r w:rsidRPr="00DA0EE6">
        <w:rPr>
          <w:rFonts w:asciiTheme="minorHAnsi" w:hAnsiTheme="minorHAnsi" w:cstheme="minorHAnsi"/>
        </w:rPr>
        <w:t xml:space="preserve"> for 2012-2015 and the recent depletion level of yellowfin tuna</w:t>
      </w:r>
      <w:r w:rsidRPr="00DA0EE6" w:rsidDel="00C74826">
        <w:rPr>
          <w:rFonts w:asciiTheme="minorHAnsi" w:hAnsiTheme="minorHAnsi" w:cstheme="minorHAnsi"/>
        </w:rPr>
        <w:t xml:space="preserve"> </w:t>
      </w:r>
      <w:r w:rsidRPr="00DA0EE6">
        <w:rPr>
          <w:rFonts w:asciiTheme="minorHAnsi" w:hAnsiTheme="minorHAnsi" w:cstheme="minorHAnsi"/>
        </w:rPr>
        <w:t>is close to the interim objective. SC19 noted that while the projection results based on the 2023 yellowfin tuna</w:t>
      </w:r>
      <w:r w:rsidRPr="00DA0EE6" w:rsidDel="00C74826">
        <w:rPr>
          <w:rFonts w:asciiTheme="minorHAnsi" w:hAnsiTheme="minorHAnsi" w:cstheme="minorHAnsi"/>
        </w:rPr>
        <w:t xml:space="preserve"> </w:t>
      </w:r>
      <w:r w:rsidRPr="00DA0EE6">
        <w:rPr>
          <w:rFonts w:asciiTheme="minorHAnsi" w:hAnsiTheme="minorHAnsi" w:cstheme="minorHAnsi"/>
        </w:rPr>
        <w:t>assessment were not available for SC19 to review, this information will be available when for the 4</w:t>
      </w:r>
      <w:r w:rsidRPr="00DA0EE6">
        <w:rPr>
          <w:rFonts w:asciiTheme="minorHAnsi" w:hAnsiTheme="minorHAnsi" w:cstheme="minorHAnsi"/>
          <w:vertAlign w:val="superscript"/>
        </w:rPr>
        <w:t>th</w:t>
      </w:r>
      <w:r w:rsidRPr="00DA0EE6">
        <w:rPr>
          <w:rFonts w:asciiTheme="minorHAnsi" w:hAnsiTheme="minorHAnsi" w:cstheme="minorHAnsi"/>
        </w:rPr>
        <w:t xml:space="preserve"> tropical tuna management workshop and will provide the Commission guidance </w:t>
      </w:r>
      <w:r w:rsidRPr="00DA0EE6">
        <w:rPr>
          <w:rFonts w:asciiTheme="minorHAnsi" w:hAnsiTheme="minorHAnsi" w:cstheme="minorHAnsi"/>
        </w:rPr>
        <w:lastRenderedPageBreak/>
        <w:t>on future expected levels of fishing mortality and the outcomes relative to the interim or future management objectives.</w:t>
      </w:r>
    </w:p>
    <w:p w14:paraId="75778146" w14:textId="77777777" w:rsidR="00DA0EE6" w:rsidRPr="00DA0EE6" w:rsidRDefault="00DA0EE6" w:rsidP="00DA0EE6">
      <w:pPr>
        <w:pStyle w:val="WCPFCpara"/>
        <w:spacing w:after="0"/>
        <w:ind w:left="0" w:firstLine="0"/>
        <w:rPr>
          <w:rFonts w:asciiTheme="minorHAnsi" w:hAnsiTheme="minorHAnsi" w:cstheme="minorHAnsi"/>
        </w:rPr>
      </w:pPr>
    </w:p>
    <w:p w14:paraId="04A75012"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 xml:space="preserve">SC19 also noted a continuous downward trend in spawning potential ratio over the recent decade in Region 2 in the westernmost equatorial region, mainly due to the miscellaneous gear fisheries within this region, whereas other regions have been relatively stable over this period. This is the impact of artisanal (small-scale) fisheries other than longline and purse seine within this region. </w:t>
      </w:r>
      <w:r w:rsidRPr="00DA0EE6">
        <w:rPr>
          <w:rFonts w:asciiTheme="minorHAnsi" w:hAnsiTheme="minorHAnsi" w:cstheme="minorHAnsi"/>
          <w:b/>
          <w:bCs/>
        </w:rPr>
        <w:t>SC19 recommends that the Commission note the need for clear limits for these.</w:t>
      </w:r>
      <w:r w:rsidRPr="00DA0EE6">
        <w:rPr>
          <w:rFonts w:asciiTheme="minorHAnsi" w:hAnsiTheme="minorHAnsi" w:cstheme="minorHAnsi"/>
        </w:rPr>
        <w:t xml:space="preserve"> </w:t>
      </w:r>
    </w:p>
    <w:p w14:paraId="21B77CE9" w14:textId="77777777" w:rsidR="00DA0EE6" w:rsidRPr="00DA0EE6" w:rsidRDefault="00DA0EE6" w:rsidP="00DA0EE6">
      <w:pPr>
        <w:pStyle w:val="WCPFCpara"/>
        <w:spacing w:after="0"/>
        <w:ind w:left="0" w:firstLine="0"/>
        <w:rPr>
          <w:rFonts w:asciiTheme="minorHAnsi" w:hAnsiTheme="minorHAnsi" w:cstheme="minorHAnsi"/>
        </w:rPr>
      </w:pPr>
    </w:p>
    <w:p w14:paraId="173FBD3B"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 xml:space="preserve">SC19 also noted that there is evidence that the overall stock status is buffered with spawning biomass kept at a more elevated level overall by low exploitation in the temperate regions (1 and 5). The assessment model estimates spawning biomass to be divided between the tropical (59%) and temperate (41%) regions, but the vast majority of catch occurred in the tropical (94%) region.  </w:t>
      </w:r>
    </w:p>
    <w:p w14:paraId="034B37F6" w14:textId="77777777" w:rsidR="00DA0EE6" w:rsidRPr="00DA0EE6" w:rsidRDefault="00DA0EE6" w:rsidP="00DA0EE6">
      <w:pPr>
        <w:pStyle w:val="Heading5"/>
        <w:keepNext w:val="0"/>
        <w:keepLines w:val="0"/>
        <w:widowControl w:val="0"/>
        <w:adjustRightInd w:val="0"/>
        <w:snapToGrid w:val="0"/>
        <w:spacing w:before="0"/>
        <w:rPr>
          <w:rFonts w:asciiTheme="minorHAnsi" w:hAnsiTheme="minorHAnsi" w:cstheme="minorHAnsi"/>
        </w:rPr>
      </w:pPr>
    </w:p>
    <w:p w14:paraId="72EB6F6B" w14:textId="26B578F0" w:rsidR="00DA0EE6" w:rsidRPr="00DA0EE6" w:rsidRDefault="00DA0EE6" w:rsidP="00DA0EE6">
      <w:pPr>
        <w:pStyle w:val="ListParagraph"/>
        <w:numPr>
          <w:ilvl w:val="0"/>
          <w:numId w:val="19"/>
        </w:numPr>
        <w:rPr>
          <w:rFonts w:asciiTheme="minorHAnsi" w:eastAsia="Batang" w:hAnsiTheme="minorHAnsi" w:cstheme="minorHAnsi"/>
          <w:b/>
          <w:bCs/>
          <w:lang w:eastAsia="ko-KR"/>
        </w:rPr>
      </w:pPr>
      <w:r w:rsidRPr="00DA0EE6">
        <w:rPr>
          <w:rFonts w:asciiTheme="minorHAnsi" w:eastAsia="Batang" w:hAnsiTheme="minorHAnsi" w:cstheme="minorHAnsi"/>
          <w:b/>
          <w:bCs/>
          <w:lang w:eastAsia="ko-KR"/>
        </w:rPr>
        <w:t>Research recommendations</w:t>
      </w:r>
    </w:p>
    <w:p w14:paraId="686D09AE" w14:textId="77777777" w:rsidR="00DA0EE6" w:rsidRPr="00DA0EE6" w:rsidRDefault="00DA0EE6" w:rsidP="00DA0EE6">
      <w:pPr>
        <w:rPr>
          <w:rFonts w:cstheme="minorHAnsi"/>
        </w:rPr>
      </w:pPr>
    </w:p>
    <w:p w14:paraId="778340DD" w14:textId="77777777" w:rsidR="00DA0EE6" w:rsidRPr="00DA0EE6" w:rsidRDefault="00DA0EE6" w:rsidP="00DA0EE6">
      <w:pPr>
        <w:pStyle w:val="WCPFCpara"/>
        <w:numPr>
          <w:ilvl w:val="0"/>
          <w:numId w:val="21"/>
        </w:numPr>
        <w:spacing w:after="0"/>
        <w:ind w:left="0" w:firstLine="0"/>
        <w:rPr>
          <w:rFonts w:asciiTheme="minorHAnsi" w:hAnsiTheme="minorHAnsi" w:cstheme="minorHAnsi"/>
        </w:rPr>
      </w:pPr>
      <w:r w:rsidRPr="00DA0EE6">
        <w:rPr>
          <w:rFonts w:asciiTheme="minorHAnsi" w:hAnsiTheme="minorHAnsi" w:cstheme="minorHAnsi"/>
        </w:rPr>
        <w:t>SC19 noted several research recommendations for the further development and improvement of the WCPO yellowfin tuna</w:t>
      </w:r>
      <w:r w:rsidRPr="00DA0EE6" w:rsidDel="00C74826">
        <w:rPr>
          <w:rFonts w:asciiTheme="minorHAnsi" w:hAnsiTheme="minorHAnsi" w:cstheme="minorHAnsi"/>
        </w:rPr>
        <w:t xml:space="preserve"> </w:t>
      </w:r>
      <w:r w:rsidRPr="00DA0EE6">
        <w:rPr>
          <w:rFonts w:asciiTheme="minorHAnsi" w:hAnsiTheme="minorHAnsi" w:cstheme="minorHAnsi"/>
        </w:rPr>
        <w:t>assessment:</w:t>
      </w:r>
    </w:p>
    <w:p w14:paraId="015C4C6F"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Exploration into the conflict between the length and weight composition data; if unresolved this conflict should be reflected within future structural uncertainty grids;</w:t>
      </w:r>
    </w:p>
    <w:p w14:paraId="4CECF266"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Exploration of a simplification of the spatial structure by using a single area, with “areas-as-fleets”;</w:t>
      </w:r>
    </w:p>
    <w:p w14:paraId="391C161D"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 xml:space="preserve">Exploration of alternative approaches to </w:t>
      </w:r>
      <w:proofErr w:type="spellStart"/>
      <w:r w:rsidRPr="00DA0EE6">
        <w:rPr>
          <w:rFonts w:asciiTheme="minorHAnsi" w:hAnsiTheme="minorHAnsi" w:cstheme="minorHAnsi"/>
        </w:rPr>
        <w:t>modeling</w:t>
      </w:r>
      <w:proofErr w:type="spellEnd"/>
      <w:r w:rsidRPr="00DA0EE6">
        <w:rPr>
          <w:rFonts w:asciiTheme="minorHAnsi" w:hAnsiTheme="minorHAnsi" w:cstheme="minorHAnsi"/>
        </w:rPr>
        <w:t xml:space="preserve"> of tagging data, including consideration of the most appropriate mixing periods for different regions and development of stand-alone tagging (mark-recapture) models;</w:t>
      </w:r>
    </w:p>
    <w:p w14:paraId="05891A6D"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Exploration of which parameters are most sensitive to initial model starting values, and taking steps to reduce the impact of starting values on the results in future assessments; this could include simplification of models and/or systematic use of jittering;</w:t>
      </w:r>
    </w:p>
    <w:p w14:paraId="77C76A70"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Further research to improve estimates of catches (both historical and recent) in the fisheries of Indonesia, the Philippines and Vietnam through the continued funding of the WPEA monitoring project;</w:t>
      </w:r>
    </w:p>
    <w:p w14:paraId="384B3649"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An exploration of seasonal and regional growth traits for the stock assessment;</w:t>
      </w:r>
    </w:p>
    <w:p w14:paraId="386E6211"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A study on longline CPUE standardization process considering effort creep; and</w:t>
      </w:r>
    </w:p>
    <w:p w14:paraId="7DB4EDF4" w14:textId="77777777" w:rsidR="00DA0EE6" w:rsidRPr="00DA0EE6" w:rsidRDefault="00DA0EE6" w:rsidP="00DA0EE6">
      <w:pPr>
        <w:pStyle w:val="WCPFCpara"/>
        <w:numPr>
          <w:ilvl w:val="1"/>
          <w:numId w:val="20"/>
        </w:numPr>
        <w:spacing w:after="0"/>
        <w:ind w:left="1080"/>
        <w:rPr>
          <w:rFonts w:asciiTheme="minorHAnsi" w:hAnsiTheme="minorHAnsi" w:cstheme="minorHAnsi"/>
        </w:rPr>
      </w:pPr>
      <w:r w:rsidRPr="00DA0EE6">
        <w:rPr>
          <w:rFonts w:asciiTheme="minorHAnsi" w:hAnsiTheme="minorHAnsi" w:cstheme="minorHAnsi"/>
        </w:rPr>
        <w:t xml:space="preserve">Developing alternative CPUE scenarios with different implied regional weightings. </w:t>
      </w:r>
      <w:r w:rsidRPr="00DA0EE6">
        <w:rPr>
          <w:rFonts w:asciiTheme="minorHAnsi" w:hAnsiTheme="minorHAnsi" w:cstheme="minorHAnsi"/>
        </w:rPr>
        <w:br/>
      </w:r>
    </w:p>
    <w:p w14:paraId="5D9D4C09" w14:textId="77777777" w:rsidR="00DA0EE6" w:rsidRPr="00DA0EE6" w:rsidRDefault="00DA0EE6" w:rsidP="00DA0EE6">
      <w:pPr>
        <w:rPr>
          <w:rFonts w:cstheme="minorHAnsi"/>
        </w:rPr>
      </w:pPr>
    </w:p>
    <w:p w14:paraId="4FA1FBCA" w14:textId="3AA07F67" w:rsidR="006375B6" w:rsidRPr="00DA0EE6" w:rsidRDefault="006375B6" w:rsidP="00167819">
      <w:pPr>
        <w:pStyle w:val="Heading1"/>
        <w:adjustRightInd w:val="0"/>
        <w:snapToGrid w:val="0"/>
        <w:spacing w:before="0" w:line="240" w:lineRule="auto"/>
        <w:rPr>
          <w:rFonts w:asciiTheme="minorHAnsi" w:hAnsiTheme="minorHAnsi" w:cstheme="minorHAnsi"/>
        </w:rPr>
      </w:pPr>
      <w:bookmarkStart w:id="1" w:name="_Toc159853628"/>
      <w:r w:rsidRPr="00DA0EE6">
        <w:rPr>
          <w:rFonts w:asciiTheme="minorHAnsi" w:hAnsiTheme="minorHAnsi" w:cstheme="minorHAnsi"/>
        </w:rPr>
        <w:t>SC16 2020 (STOCK ASSESSMENT CONDUCTED)</w:t>
      </w:r>
      <w:bookmarkEnd w:id="1"/>
    </w:p>
    <w:p w14:paraId="51B76CA4" w14:textId="77777777" w:rsidR="009C236C" w:rsidRPr="00DA0EE6" w:rsidRDefault="009C236C" w:rsidP="009C236C">
      <w:pPr>
        <w:pStyle w:val="ListParagraph"/>
        <w:kinsoku w:val="0"/>
        <w:overflowPunct w:val="0"/>
        <w:adjustRightInd w:val="0"/>
        <w:snapToGrid w:val="0"/>
        <w:ind w:left="0"/>
        <w:jc w:val="both"/>
        <w:rPr>
          <w:rFonts w:asciiTheme="minorHAnsi" w:eastAsia="Batang" w:hAnsiTheme="minorHAnsi" w:cstheme="minorHAnsi"/>
          <w:lang w:eastAsia="ko-KR"/>
        </w:rPr>
      </w:pPr>
    </w:p>
    <w:p w14:paraId="04CFA154" w14:textId="77777777" w:rsidR="009C236C" w:rsidRPr="00DA0EE6" w:rsidRDefault="009C236C" w:rsidP="009C236C">
      <w:pPr>
        <w:pStyle w:val="ListParagraph"/>
        <w:widowControl/>
        <w:numPr>
          <w:ilvl w:val="0"/>
          <w:numId w:val="14"/>
        </w:numPr>
        <w:kinsoku w:val="0"/>
        <w:overflowPunct w:val="0"/>
        <w:adjustRightInd w:val="0"/>
        <w:snapToGrid w:val="0"/>
        <w:ind w:left="0" w:firstLine="0"/>
        <w:jc w:val="both"/>
        <w:rPr>
          <w:rFonts w:asciiTheme="minorHAnsi" w:eastAsia="Batang" w:hAnsiTheme="minorHAnsi" w:cstheme="minorHAnsi"/>
          <w:b/>
          <w:bCs/>
          <w:lang w:eastAsia="ko-KR"/>
        </w:rPr>
      </w:pPr>
      <w:bookmarkStart w:id="2" w:name="_Hlk62636039"/>
      <w:r w:rsidRPr="00DA0EE6">
        <w:rPr>
          <w:rFonts w:asciiTheme="minorHAnsi" w:eastAsia="Batang" w:hAnsiTheme="minorHAnsi" w:cstheme="minorHAnsi"/>
          <w:b/>
          <w:bCs/>
          <w:lang w:eastAsia="ko-KR"/>
        </w:rPr>
        <w:t xml:space="preserve">Stock Status and trends </w:t>
      </w:r>
    </w:p>
    <w:p w14:paraId="2C6CCD83" w14:textId="77777777" w:rsidR="009C236C" w:rsidRPr="00DA0EE6" w:rsidRDefault="009C236C" w:rsidP="009C236C">
      <w:pPr>
        <w:kinsoku w:val="0"/>
        <w:overflowPunct w:val="0"/>
        <w:autoSpaceDE w:val="0"/>
        <w:autoSpaceDN w:val="0"/>
        <w:adjustRightInd w:val="0"/>
        <w:snapToGrid w:val="0"/>
        <w:spacing w:after="0" w:line="240" w:lineRule="auto"/>
        <w:ind w:left="720"/>
        <w:jc w:val="both"/>
        <w:rPr>
          <w:rFonts w:eastAsia="Batang" w:cstheme="minorHAnsi"/>
          <w:lang w:eastAsia="ko-KR"/>
        </w:rPr>
      </w:pPr>
    </w:p>
    <w:p w14:paraId="6514E4B1" w14:textId="77777777" w:rsidR="009C236C" w:rsidRPr="00DA0EE6" w:rsidRDefault="009C236C" w:rsidP="009C236C">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The median values of relative recent (2015-2018) spawning biomass depletion (</w:t>
      </w:r>
      <w:proofErr w:type="spellStart"/>
      <w:r w:rsidRPr="00DA0EE6">
        <w:rPr>
          <w:rFonts w:asciiTheme="minorHAnsi" w:hAnsiTheme="minorHAnsi" w:cstheme="minorHAnsi"/>
          <w:bCs/>
          <w:i/>
        </w:rPr>
        <w:t>SB</w:t>
      </w:r>
      <w:r w:rsidRPr="00DA0EE6">
        <w:rPr>
          <w:rFonts w:asciiTheme="minorHAnsi" w:hAnsiTheme="minorHAnsi" w:cstheme="minorHAnsi"/>
          <w:bCs/>
          <w:i/>
          <w:vertAlign w:val="subscript"/>
        </w:rPr>
        <w:t>recent</w:t>
      </w:r>
      <w:proofErr w:type="spellEnd"/>
      <w:r w:rsidRPr="00DA0EE6">
        <w:rPr>
          <w:rFonts w:asciiTheme="minorHAnsi" w:hAnsiTheme="minorHAnsi" w:cstheme="minorHAnsi"/>
          <w:bCs/>
          <w:i/>
        </w:rPr>
        <w:t>/ SB</w:t>
      </w:r>
      <w:r w:rsidRPr="00DA0EE6">
        <w:rPr>
          <w:rFonts w:asciiTheme="minorHAnsi" w:hAnsiTheme="minorHAnsi" w:cstheme="minorHAnsi"/>
          <w:bCs/>
          <w:i/>
          <w:vertAlign w:val="subscript"/>
        </w:rPr>
        <w:t>F=0</w:t>
      </w:r>
      <w:r w:rsidRPr="00DA0EE6">
        <w:rPr>
          <w:rFonts w:asciiTheme="minorHAnsi" w:hAnsiTheme="minorHAnsi" w:cstheme="minorHAnsi"/>
          <w:bCs/>
        </w:rPr>
        <w:t xml:space="preserve">) and </w:t>
      </w:r>
      <w:r w:rsidRPr="00DA0EE6">
        <w:rPr>
          <w:rFonts w:asciiTheme="minorHAnsi" w:hAnsiTheme="minorHAnsi" w:cstheme="minorHAnsi"/>
        </w:rPr>
        <w:t>relative</w:t>
      </w:r>
      <w:r w:rsidRPr="00DA0EE6">
        <w:rPr>
          <w:rFonts w:asciiTheme="minorHAnsi" w:hAnsiTheme="minorHAnsi" w:cstheme="minorHAnsi"/>
          <w:bCs/>
        </w:rPr>
        <w:t xml:space="preserve"> recent (2014-2017) fishing mortality (</w:t>
      </w:r>
      <w:proofErr w:type="spellStart"/>
      <w:r w:rsidRPr="00DA0EE6">
        <w:rPr>
          <w:rFonts w:asciiTheme="minorHAnsi" w:hAnsiTheme="minorHAnsi" w:cstheme="minorHAnsi"/>
          <w:bCs/>
          <w:i/>
        </w:rPr>
        <w:t>F</w:t>
      </w:r>
      <w:r w:rsidRPr="00DA0EE6">
        <w:rPr>
          <w:rFonts w:asciiTheme="minorHAnsi" w:hAnsiTheme="minorHAnsi" w:cstheme="minorHAnsi"/>
          <w:bCs/>
          <w:i/>
          <w:vertAlign w:val="subscript"/>
        </w:rPr>
        <w:t>recent</w:t>
      </w:r>
      <w:proofErr w:type="spellEnd"/>
      <w:r w:rsidRPr="00DA0EE6">
        <w:rPr>
          <w:rFonts w:asciiTheme="minorHAnsi" w:hAnsiTheme="minorHAnsi" w:cstheme="minorHAnsi"/>
          <w:bCs/>
          <w:i/>
        </w:rPr>
        <w:t>/F</w:t>
      </w:r>
      <w:r w:rsidRPr="00DA0EE6">
        <w:rPr>
          <w:rFonts w:asciiTheme="minorHAnsi" w:hAnsiTheme="minorHAnsi" w:cstheme="minorHAnsi"/>
          <w:bCs/>
          <w:i/>
          <w:vertAlign w:val="subscript"/>
        </w:rPr>
        <w:t>MSY</w:t>
      </w:r>
      <w:r w:rsidRPr="00DA0EE6">
        <w:rPr>
          <w:rFonts w:asciiTheme="minorHAnsi" w:hAnsiTheme="minorHAnsi" w:cstheme="minorHAnsi"/>
          <w:bCs/>
        </w:rPr>
        <w:t>) over the uncertainty grid of 72 models (Table YFT-1) were used to define stock status. The values of the upper 90</w:t>
      </w:r>
      <w:r w:rsidRPr="00DA0EE6">
        <w:rPr>
          <w:rFonts w:asciiTheme="minorHAnsi" w:hAnsiTheme="minorHAnsi" w:cstheme="minorHAnsi"/>
          <w:bCs/>
          <w:vertAlign w:val="superscript"/>
          <w:lang w:eastAsia="ko-KR"/>
        </w:rPr>
        <w:t>th</w:t>
      </w:r>
      <w:r w:rsidRPr="00DA0EE6">
        <w:rPr>
          <w:rFonts w:asciiTheme="minorHAnsi" w:hAnsiTheme="minorHAnsi" w:cstheme="minorHAnsi"/>
          <w:bCs/>
        </w:rPr>
        <w:t>and lower 10</w:t>
      </w:r>
      <w:r w:rsidRPr="00DA0EE6">
        <w:rPr>
          <w:rFonts w:asciiTheme="minorHAnsi" w:hAnsiTheme="minorHAnsi" w:cstheme="minorHAnsi"/>
          <w:bCs/>
          <w:vertAlign w:val="superscript"/>
          <w:lang w:eastAsia="ko-KR"/>
        </w:rPr>
        <w:t>th</w:t>
      </w:r>
      <w:r w:rsidRPr="00DA0EE6">
        <w:rPr>
          <w:rFonts w:asciiTheme="minorHAnsi" w:hAnsiTheme="minorHAnsi" w:cstheme="minorHAnsi"/>
          <w:bCs/>
        </w:rPr>
        <w:t xml:space="preserve">percentiles of the empirical distributions of relative spawning biomass and relative fishing mortality from the uncertainty grid were used to characterize the probable range of stock status. </w:t>
      </w:r>
    </w:p>
    <w:p w14:paraId="6D964CCA" w14:textId="77777777" w:rsidR="009C236C" w:rsidRPr="00DA0EE6" w:rsidRDefault="009C236C" w:rsidP="009C236C">
      <w:pPr>
        <w:autoSpaceDE w:val="0"/>
        <w:autoSpaceDN w:val="0"/>
        <w:adjustRightInd w:val="0"/>
        <w:snapToGrid w:val="0"/>
        <w:spacing w:after="0" w:line="240" w:lineRule="auto"/>
        <w:jc w:val="both"/>
        <w:rPr>
          <w:rFonts w:cstheme="minorHAnsi"/>
          <w:bCs/>
        </w:rPr>
      </w:pPr>
    </w:p>
    <w:p w14:paraId="3A0CD034" w14:textId="6AB1DBF2" w:rsidR="009C236C" w:rsidRPr="00DA0EE6" w:rsidRDefault="009C236C" w:rsidP="009C236C">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lastRenderedPageBreak/>
        <w:t>A description of the updated structural sensitivity grid used to characterize uncertainty in the assessment is illustrated in Table YFT-1. The s</w:t>
      </w:r>
      <w:r w:rsidRPr="00DA0EE6">
        <w:rPr>
          <w:rFonts w:asciiTheme="minorHAnsi" w:hAnsiTheme="minorHAnsi" w:cstheme="minorHAnsi"/>
        </w:rPr>
        <w:t xml:space="preserve">patial structure used in the 2020 stock assessment is shown in Figure YFT-1. </w:t>
      </w:r>
      <w:r w:rsidRPr="00DA0EE6">
        <w:rPr>
          <w:rFonts w:asciiTheme="minorHAnsi" w:hAnsiTheme="minorHAnsi" w:cstheme="minorHAnsi"/>
          <w:bCs/>
        </w:rPr>
        <w:t>Time series of total annual catch by fishing gear over the full assessment period is shown in Figure YFT-2. The t</w:t>
      </w:r>
      <w:r w:rsidRPr="00DA0EE6">
        <w:rPr>
          <w:rFonts w:asciiTheme="minorHAnsi" w:hAnsiTheme="minorHAnsi" w:cstheme="minorHAnsi"/>
        </w:rPr>
        <w:t xml:space="preserve">ime series of total annual catch by fishing gear and assessment region is shown in Figure YFT-3. Estimated annual average recruitment, spawning potential, and total biomass by model region is shown in Figure YFT-4. </w:t>
      </w:r>
      <w:r w:rsidRPr="00DA0EE6">
        <w:rPr>
          <w:rFonts w:asciiTheme="minorHAnsi" w:hAnsiTheme="minorHAnsi" w:cstheme="minorHAnsi"/>
          <w:bCs/>
        </w:rPr>
        <w:t xml:space="preserve">Estimated trends in spawning biomass depletion for the 72 models in the structural uncertainty grid is shown in Figure YFT-5, and juvenile and adult fishing mortality rates from the diagnostic model is shown in Figure YFT-6. Estimates of the reduction in </w:t>
      </w:r>
      <w:r w:rsidRPr="00DA0EE6">
        <w:rPr>
          <w:rFonts w:asciiTheme="minorHAnsi" w:hAnsiTheme="minorHAnsi" w:cstheme="minorHAnsi"/>
        </w:rPr>
        <w:t xml:space="preserve">spawning potential due to fishing by region </w:t>
      </w:r>
      <w:r w:rsidRPr="00DA0EE6">
        <w:rPr>
          <w:rFonts w:asciiTheme="minorHAnsi" w:hAnsiTheme="minorHAnsi" w:cstheme="minorHAnsi"/>
          <w:lang w:eastAsia="ko-KR"/>
        </w:rPr>
        <w:t>are</w:t>
      </w:r>
      <w:r w:rsidRPr="00DA0EE6">
        <w:rPr>
          <w:rFonts w:asciiTheme="minorHAnsi" w:hAnsiTheme="minorHAnsi" w:cstheme="minorHAnsi"/>
        </w:rPr>
        <w:t xml:space="preserve"> shown in Figure YFT-7. Time-dynamic percentiles of depletion (</w:t>
      </w:r>
      <w:proofErr w:type="spellStart"/>
      <w:r w:rsidRPr="00DA0EE6">
        <w:rPr>
          <w:rFonts w:asciiTheme="minorHAnsi" w:hAnsiTheme="minorHAnsi" w:cstheme="minorHAnsi"/>
        </w:rPr>
        <w:t>SB</w:t>
      </w:r>
      <w:r w:rsidRPr="00DA0EE6">
        <w:rPr>
          <w:rFonts w:asciiTheme="minorHAnsi" w:hAnsiTheme="minorHAnsi" w:cstheme="minorHAnsi"/>
          <w:vertAlign w:val="subscript"/>
        </w:rPr>
        <w:t>t</w:t>
      </w:r>
      <w:proofErr w:type="spellEnd"/>
      <w:r w:rsidRPr="00DA0EE6">
        <w:rPr>
          <w:rFonts w:asciiTheme="minorHAnsi" w:hAnsiTheme="minorHAnsi" w:cstheme="minorHAnsi"/>
        </w:rPr>
        <w:t>/</w:t>
      </w:r>
      <w:proofErr w:type="spellStart"/>
      <w:r w:rsidRPr="00DA0EE6">
        <w:rPr>
          <w:rFonts w:asciiTheme="minorHAnsi" w:hAnsiTheme="minorHAnsi" w:cstheme="minorHAnsi"/>
        </w:rPr>
        <w:t>SB</w:t>
      </w:r>
      <w:r w:rsidRPr="00DA0EE6">
        <w:rPr>
          <w:rFonts w:asciiTheme="minorHAnsi" w:hAnsiTheme="minorHAnsi" w:cstheme="minorHAnsi"/>
          <w:vertAlign w:val="subscript"/>
        </w:rPr>
        <w:t>t,F</w:t>
      </w:r>
      <w:proofErr w:type="spellEnd"/>
      <w:r w:rsidRPr="00DA0EE6">
        <w:rPr>
          <w:rFonts w:asciiTheme="minorHAnsi" w:hAnsiTheme="minorHAnsi" w:cstheme="minorHAnsi"/>
          <w:vertAlign w:val="subscript"/>
        </w:rPr>
        <w:t>=0</w:t>
      </w:r>
      <w:r w:rsidRPr="00DA0EE6">
        <w:rPr>
          <w:rFonts w:asciiTheme="minorHAnsi" w:hAnsiTheme="minorHAnsi" w:cstheme="minorHAnsi"/>
        </w:rPr>
        <w:t xml:space="preserve">) for the 72 models are shown in Figure YFT-8. </w:t>
      </w:r>
      <w:r w:rsidRPr="00DA0EE6">
        <w:rPr>
          <w:rFonts w:asciiTheme="minorHAnsi" w:hAnsiTheme="minorHAnsi" w:cstheme="minorHAnsi"/>
          <w:bCs/>
        </w:rPr>
        <w:t>A Majuro and Kobe plot summarising the results for each of the 72 models in the structural uncertainty grid are shown in Figures YFT-9 and 10, respectively. Projections are illustrated in Figure YFT-11.</w:t>
      </w:r>
      <w:r w:rsidR="00135EC2" w:rsidRPr="00DA0EE6">
        <w:rPr>
          <w:rFonts w:asciiTheme="minorHAnsi" w:hAnsiTheme="minorHAnsi" w:cstheme="minorHAnsi"/>
          <w:bCs/>
        </w:rPr>
        <w:t xml:space="preserve"> </w:t>
      </w:r>
      <w:r w:rsidRPr="00DA0EE6">
        <w:rPr>
          <w:rFonts w:asciiTheme="minorHAnsi" w:hAnsiTheme="minorHAnsi" w:cstheme="minorHAnsi"/>
          <w:bCs/>
        </w:rPr>
        <w:t xml:space="preserve">Table YFT-2 provides a summary of reference points over the 72 models in the structural uncertainty grid. </w:t>
      </w:r>
    </w:p>
    <w:p w14:paraId="189C273F" w14:textId="77777777" w:rsidR="009C236C" w:rsidRPr="00DA0EE6" w:rsidRDefault="009C236C" w:rsidP="009C236C">
      <w:pPr>
        <w:autoSpaceDE w:val="0"/>
        <w:autoSpaceDN w:val="0"/>
        <w:adjustRightInd w:val="0"/>
        <w:snapToGrid w:val="0"/>
        <w:spacing w:after="0" w:line="240" w:lineRule="auto"/>
        <w:jc w:val="both"/>
        <w:rPr>
          <w:rFonts w:cstheme="minorHAnsi"/>
          <w:bCs/>
        </w:rPr>
      </w:pPr>
    </w:p>
    <w:p w14:paraId="399A52E3" w14:textId="77777777" w:rsidR="009C236C" w:rsidRPr="00DA0EE6" w:rsidRDefault="009C236C" w:rsidP="009C236C">
      <w:pPr>
        <w:pStyle w:val="WCPFC"/>
        <w:adjustRightInd w:val="0"/>
        <w:spacing w:after="0"/>
        <w:ind w:left="0" w:firstLine="0"/>
        <w:rPr>
          <w:rFonts w:asciiTheme="minorHAnsi" w:hAnsiTheme="minorHAnsi" w:cstheme="minorHAnsi"/>
          <w:bCs/>
        </w:rPr>
      </w:pPr>
      <w:r w:rsidRPr="00DA0EE6">
        <w:rPr>
          <w:rFonts w:asciiTheme="minorHAnsi" w:hAnsiTheme="minorHAnsi" w:cstheme="minorHAnsi"/>
        </w:rPr>
        <w:t>The most influential axis of uncertainty with respect to estimated stock status was growth. The most pessimistic model estimates occurred with models that assumed growth estimated from the modal progression information in the size composition data. The most optimistic stock status estimates were obtained from models that used the growth curve estimated externally from otolith data. Models where growth was estimated by the conditional age-at-length data resulted in estimates that were in between the other two, but were more consistent with the otolith growth curve models. Further research is required to develop alternative growth estimates at the regional spatial scale and</w:t>
      </w:r>
      <w:r w:rsidRPr="00DA0EE6">
        <w:rPr>
          <w:rFonts w:asciiTheme="minorHAnsi" w:hAnsiTheme="minorHAnsi" w:cstheme="minorHAnsi"/>
          <w:bCs/>
        </w:rPr>
        <w:t xml:space="preserve"> develop model diagnostics and objective criteria for model inclusion. </w:t>
      </w:r>
    </w:p>
    <w:p w14:paraId="706A8E60" w14:textId="77777777" w:rsidR="009C236C" w:rsidRPr="00DA0EE6" w:rsidRDefault="009C236C" w:rsidP="009C236C">
      <w:pPr>
        <w:autoSpaceDE w:val="0"/>
        <w:autoSpaceDN w:val="0"/>
        <w:adjustRightInd w:val="0"/>
        <w:snapToGrid w:val="0"/>
        <w:spacing w:after="0" w:line="240" w:lineRule="auto"/>
        <w:jc w:val="both"/>
        <w:rPr>
          <w:rFonts w:cstheme="minorHAnsi"/>
          <w:bCs/>
        </w:rPr>
      </w:pPr>
    </w:p>
    <w:p w14:paraId="3B7E3F84" w14:textId="77777777" w:rsidR="00194EBD" w:rsidRPr="00DA0EE6" w:rsidRDefault="00194EBD" w:rsidP="009C236C">
      <w:pPr>
        <w:adjustRightInd w:val="0"/>
        <w:snapToGrid w:val="0"/>
        <w:spacing w:after="0" w:line="240" w:lineRule="auto"/>
        <w:jc w:val="both"/>
        <w:rPr>
          <w:rFonts w:cstheme="minorHAnsi"/>
          <w:b/>
        </w:rPr>
      </w:pPr>
    </w:p>
    <w:p w14:paraId="64DB29F2" w14:textId="7077B596" w:rsidR="009C236C" w:rsidRPr="00DA0EE6" w:rsidRDefault="009C236C" w:rsidP="009C236C">
      <w:pPr>
        <w:adjustRightInd w:val="0"/>
        <w:snapToGrid w:val="0"/>
        <w:spacing w:after="0" w:line="240" w:lineRule="auto"/>
        <w:jc w:val="both"/>
        <w:rPr>
          <w:rFonts w:cstheme="minorHAnsi"/>
        </w:rPr>
      </w:pPr>
      <w:r w:rsidRPr="00DA0EE6">
        <w:rPr>
          <w:rFonts w:cstheme="minorHAnsi"/>
          <w:b/>
        </w:rPr>
        <w:t>Table YFT-1.</w:t>
      </w:r>
      <w:r w:rsidRPr="00DA0EE6">
        <w:rPr>
          <w:rFonts w:cstheme="minorHAnsi"/>
        </w:rPr>
        <w:t xml:space="preserve"> Description of the updated structural sensitivity grid used to characterize uncertainty in the assessment, where * denotes the level assumed in the diagnostic model. Equal weighting was given to all axis values. </w:t>
      </w:r>
    </w:p>
    <w:tbl>
      <w:tblPr>
        <w:tblStyle w:val="TableGrid"/>
        <w:tblW w:w="5000" w:type="pct"/>
        <w:tblLook w:val="04A0" w:firstRow="1" w:lastRow="0" w:firstColumn="1" w:lastColumn="0" w:noHBand="0" w:noVBand="1"/>
      </w:tblPr>
      <w:tblGrid>
        <w:gridCol w:w="1870"/>
        <w:gridCol w:w="1870"/>
        <w:gridCol w:w="1870"/>
        <w:gridCol w:w="1870"/>
        <w:gridCol w:w="1870"/>
      </w:tblGrid>
      <w:tr w:rsidR="009C236C" w:rsidRPr="00DA0EE6" w14:paraId="26AFD76F" w14:textId="77777777" w:rsidTr="009C236C">
        <w:trPr>
          <w:trHeight w:val="341"/>
        </w:trPr>
        <w:tc>
          <w:tcPr>
            <w:tcW w:w="1000" w:type="pct"/>
            <w:shd w:val="clear" w:color="auto" w:fill="D9D9D9" w:themeFill="background1" w:themeFillShade="D9"/>
            <w:vAlign w:val="center"/>
          </w:tcPr>
          <w:p w14:paraId="46E50EF7" w14:textId="77777777" w:rsidR="009C236C" w:rsidRPr="00DA0EE6" w:rsidRDefault="009C236C" w:rsidP="009C236C">
            <w:pPr>
              <w:adjustRightInd w:val="0"/>
              <w:snapToGrid w:val="0"/>
              <w:jc w:val="center"/>
              <w:rPr>
                <w:rFonts w:cstheme="minorHAnsi"/>
                <w:b/>
                <w:bCs/>
              </w:rPr>
            </w:pPr>
            <w:r w:rsidRPr="00DA0EE6">
              <w:rPr>
                <w:rFonts w:cstheme="minorHAnsi"/>
                <w:b/>
                <w:bCs/>
              </w:rPr>
              <w:t>Axis</w:t>
            </w:r>
          </w:p>
        </w:tc>
        <w:tc>
          <w:tcPr>
            <w:tcW w:w="1000" w:type="pct"/>
            <w:shd w:val="clear" w:color="auto" w:fill="D9D9D9" w:themeFill="background1" w:themeFillShade="D9"/>
            <w:vAlign w:val="center"/>
          </w:tcPr>
          <w:p w14:paraId="5C7C02B4" w14:textId="77777777" w:rsidR="009C236C" w:rsidRPr="00DA0EE6" w:rsidRDefault="009C236C" w:rsidP="009C236C">
            <w:pPr>
              <w:adjustRightInd w:val="0"/>
              <w:snapToGrid w:val="0"/>
              <w:jc w:val="center"/>
              <w:rPr>
                <w:rFonts w:cstheme="minorHAnsi"/>
                <w:b/>
                <w:bCs/>
              </w:rPr>
            </w:pPr>
            <w:r w:rsidRPr="00DA0EE6">
              <w:rPr>
                <w:rFonts w:cstheme="minorHAnsi"/>
                <w:b/>
                <w:bCs/>
              </w:rPr>
              <w:t>Value 1</w:t>
            </w:r>
          </w:p>
        </w:tc>
        <w:tc>
          <w:tcPr>
            <w:tcW w:w="1000" w:type="pct"/>
            <w:shd w:val="clear" w:color="auto" w:fill="D9D9D9" w:themeFill="background1" w:themeFillShade="D9"/>
            <w:vAlign w:val="center"/>
          </w:tcPr>
          <w:p w14:paraId="1C809F97" w14:textId="77777777" w:rsidR="009C236C" w:rsidRPr="00DA0EE6" w:rsidRDefault="009C236C" w:rsidP="009C236C">
            <w:pPr>
              <w:adjustRightInd w:val="0"/>
              <w:snapToGrid w:val="0"/>
              <w:jc w:val="center"/>
              <w:rPr>
                <w:rFonts w:cstheme="minorHAnsi"/>
                <w:b/>
                <w:bCs/>
              </w:rPr>
            </w:pPr>
            <w:r w:rsidRPr="00DA0EE6">
              <w:rPr>
                <w:rFonts w:cstheme="minorHAnsi"/>
                <w:b/>
                <w:bCs/>
              </w:rPr>
              <w:t>Value 2</w:t>
            </w:r>
          </w:p>
        </w:tc>
        <w:tc>
          <w:tcPr>
            <w:tcW w:w="1000" w:type="pct"/>
            <w:shd w:val="clear" w:color="auto" w:fill="D9D9D9" w:themeFill="background1" w:themeFillShade="D9"/>
            <w:vAlign w:val="center"/>
          </w:tcPr>
          <w:p w14:paraId="0D77226D" w14:textId="77777777" w:rsidR="009C236C" w:rsidRPr="00DA0EE6" w:rsidRDefault="009C236C" w:rsidP="00311CC0">
            <w:pPr>
              <w:adjustRightInd w:val="0"/>
              <w:snapToGrid w:val="0"/>
              <w:jc w:val="center"/>
              <w:rPr>
                <w:rFonts w:cstheme="minorHAnsi"/>
                <w:b/>
                <w:bCs/>
              </w:rPr>
            </w:pPr>
            <w:r w:rsidRPr="00DA0EE6">
              <w:rPr>
                <w:rFonts w:cstheme="minorHAnsi"/>
                <w:b/>
                <w:bCs/>
              </w:rPr>
              <w:t>Value 3</w:t>
            </w:r>
          </w:p>
        </w:tc>
        <w:tc>
          <w:tcPr>
            <w:tcW w:w="1000" w:type="pct"/>
            <w:shd w:val="clear" w:color="auto" w:fill="D9D9D9" w:themeFill="background1" w:themeFillShade="D9"/>
            <w:vAlign w:val="center"/>
          </w:tcPr>
          <w:p w14:paraId="2E705669" w14:textId="77777777" w:rsidR="009C236C" w:rsidRPr="00DA0EE6" w:rsidRDefault="009C236C" w:rsidP="00A43F14">
            <w:pPr>
              <w:adjustRightInd w:val="0"/>
              <w:snapToGrid w:val="0"/>
              <w:jc w:val="center"/>
              <w:rPr>
                <w:rFonts w:cstheme="minorHAnsi"/>
                <w:b/>
                <w:bCs/>
              </w:rPr>
            </w:pPr>
            <w:r w:rsidRPr="00DA0EE6">
              <w:rPr>
                <w:rFonts w:cstheme="minorHAnsi"/>
                <w:b/>
                <w:bCs/>
              </w:rPr>
              <w:t>Value 4</w:t>
            </w:r>
          </w:p>
        </w:tc>
      </w:tr>
      <w:tr w:rsidR="009C236C" w:rsidRPr="00DA0EE6" w14:paraId="3B6ED6BE" w14:textId="77777777" w:rsidTr="009C236C">
        <w:tc>
          <w:tcPr>
            <w:tcW w:w="1000" w:type="pct"/>
          </w:tcPr>
          <w:p w14:paraId="42E87645" w14:textId="77777777" w:rsidR="009C236C" w:rsidRPr="00DA0EE6" w:rsidRDefault="009C236C" w:rsidP="009C236C">
            <w:pPr>
              <w:adjustRightInd w:val="0"/>
              <w:snapToGrid w:val="0"/>
              <w:rPr>
                <w:rFonts w:cstheme="minorHAnsi"/>
              </w:rPr>
            </w:pPr>
            <w:r w:rsidRPr="00DA0EE6">
              <w:rPr>
                <w:rFonts w:cstheme="minorHAnsi"/>
              </w:rPr>
              <w:t>Growth</w:t>
            </w:r>
          </w:p>
        </w:tc>
        <w:tc>
          <w:tcPr>
            <w:tcW w:w="1000" w:type="pct"/>
          </w:tcPr>
          <w:p w14:paraId="6B0E10B4" w14:textId="77777777" w:rsidR="009C236C" w:rsidRPr="00DA0EE6" w:rsidRDefault="009C236C" w:rsidP="009C236C">
            <w:pPr>
              <w:adjustRightInd w:val="0"/>
              <w:snapToGrid w:val="0"/>
              <w:jc w:val="center"/>
              <w:rPr>
                <w:rFonts w:cstheme="minorHAnsi"/>
              </w:rPr>
            </w:pPr>
            <w:r w:rsidRPr="00DA0EE6">
              <w:rPr>
                <w:rFonts w:cstheme="minorHAnsi"/>
              </w:rPr>
              <w:t>Conditional Age-at-length*</w:t>
            </w:r>
          </w:p>
        </w:tc>
        <w:tc>
          <w:tcPr>
            <w:tcW w:w="1000" w:type="pct"/>
          </w:tcPr>
          <w:p w14:paraId="15A3A8DA" w14:textId="77777777" w:rsidR="009C236C" w:rsidRPr="00DA0EE6" w:rsidRDefault="009C236C" w:rsidP="009C236C">
            <w:pPr>
              <w:adjustRightInd w:val="0"/>
              <w:snapToGrid w:val="0"/>
              <w:jc w:val="center"/>
              <w:rPr>
                <w:rFonts w:cstheme="minorHAnsi"/>
              </w:rPr>
            </w:pPr>
            <w:r w:rsidRPr="00DA0EE6">
              <w:rPr>
                <w:rFonts w:cstheme="minorHAnsi"/>
              </w:rPr>
              <w:t>Modal (Size Composition)</w:t>
            </w:r>
          </w:p>
        </w:tc>
        <w:tc>
          <w:tcPr>
            <w:tcW w:w="1000" w:type="pct"/>
          </w:tcPr>
          <w:p w14:paraId="4291768E" w14:textId="77777777" w:rsidR="009C236C" w:rsidRPr="00DA0EE6" w:rsidRDefault="009C236C" w:rsidP="00311CC0">
            <w:pPr>
              <w:adjustRightInd w:val="0"/>
              <w:snapToGrid w:val="0"/>
              <w:jc w:val="center"/>
              <w:rPr>
                <w:rFonts w:cstheme="minorHAnsi"/>
              </w:rPr>
            </w:pPr>
            <w:r w:rsidRPr="00DA0EE6">
              <w:rPr>
                <w:rFonts w:cstheme="minorHAnsi"/>
              </w:rPr>
              <w:t>Otolith</w:t>
            </w:r>
          </w:p>
        </w:tc>
        <w:tc>
          <w:tcPr>
            <w:tcW w:w="1000" w:type="pct"/>
          </w:tcPr>
          <w:p w14:paraId="617E0ABD" w14:textId="77777777" w:rsidR="009C236C" w:rsidRPr="00DA0EE6" w:rsidRDefault="009C236C" w:rsidP="00A43F14">
            <w:pPr>
              <w:adjustRightInd w:val="0"/>
              <w:snapToGrid w:val="0"/>
              <w:jc w:val="center"/>
              <w:rPr>
                <w:rFonts w:cstheme="minorHAnsi"/>
              </w:rPr>
            </w:pPr>
          </w:p>
        </w:tc>
      </w:tr>
      <w:tr w:rsidR="009C236C" w:rsidRPr="00DA0EE6" w14:paraId="2CD7C3BD" w14:textId="77777777" w:rsidTr="009C236C">
        <w:tc>
          <w:tcPr>
            <w:tcW w:w="1000" w:type="pct"/>
          </w:tcPr>
          <w:p w14:paraId="263107F3" w14:textId="77777777" w:rsidR="009C236C" w:rsidRPr="00DA0EE6" w:rsidRDefault="009C236C" w:rsidP="009C236C">
            <w:pPr>
              <w:adjustRightInd w:val="0"/>
              <w:snapToGrid w:val="0"/>
              <w:rPr>
                <w:rFonts w:cstheme="minorHAnsi"/>
              </w:rPr>
            </w:pPr>
            <w:r w:rsidRPr="00DA0EE6">
              <w:rPr>
                <w:rFonts w:cstheme="minorHAnsi"/>
              </w:rPr>
              <w:t>Steepness</w:t>
            </w:r>
          </w:p>
        </w:tc>
        <w:tc>
          <w:tcPr>
            <w:tcW w:w="1000" w:type="pct"/>
          </w:tcPr>
          <w:p w14:paraId="420AAF59" w14:textId="77777777" w:rsidR="009C236C" w:rsidRPr="00DA0EE6" w:rsidRDefault="009C236C" w:rsidP="009C236C">
            <w:pPr>
              <w:adjustRightInd w:val="0"/>
              <w:snapToGrid w:val="0"/>
              <w:jc w:val="center"/>
              <w:rPr>
                <w:rFonts w:cstheme="minorHAnsi"/>
              </w:rPr>
            </w:pPr>
            <w:r w:rsidRPr="00DA0EE6">
              <w:rPr>
                <w:rFonts w:cstheme="minorHAnsi"/>
              </w:rPr>
              <w:t>0.65</w:t>
            </w:r>
          </w:p>
        </w:tc>
        <w:tc>
          <w:tcPr>
            <w:tcW w:w="1000" w:type="pct"/>
          </w:tcPr>
          <w:p w14:paraId="2EF5BA68" w14:textId="77777777" w:rsidR="009C236C" w:rsidRPr="00DA0EE6" w:rsidRDefault="009C236C" w:rsidP="009C236C">
            <w:pPr>
              <w:adjustRightInd w:val="0"/>
              <w:snapToGrid w:val="0"/>
              <w:jc w:val="center"/>
              <w:rPr>
                <w:rFonts w:cstheme="minorHAnsi"/>
              </w:rPr>
            </w:pPr>
            <w:r w:rsidRPr="00DA0EE6">
              <w:rPr>
                <w:rFonts w:cstheme="minorHAnsi"/>
              </w:rPr>
              <w:t>0.8 *</w:t>
            </w:r>
          </w:p>
        </w:tc>
        <w:tc>
          <w:tcPr>
            <w:tcW w:w="1000" w:type="pct"/>
          </w:tcPr>
          <w:p w14:paraId="23FCEFCA" w14:textId="77777777" w:rsidR="009C236C" w:rsidRPr="00DA0EE6" w:rsidRDefault="009C236C" w:rsidP="00311CC0">
            <w:pPr>
              <w:adjustRightInd w:val="0"/>
              <w:snapToGrid w:val="0"/>
              <w:jc w:val="center"/>
              <w:rPr>
                <w:rFonts w:cstheme="minorHAnsi"/>
              </w:rPr>
            </w:pPr>
            <w:r w:rsidRPr="00DA0EE6">
              <w:rPr>
                <w:rFonts w:cstheme="minorHAnsi"/>
              </w:rPr>
              <w:t>0.95</w:t>
            </w:r>
          </w:p>
        </w:tc>
        <w:tc>
          <w:tcPr>
            <w:tcW w:w="1000" w:type="pct"/>
          </w:tcPr>
          <w:p w14:paraId="3987E137" w14:textId="77777777" w:rsidR="009C236C" w:rsidRPr="00DA0EE6" w:rsidRDefault="009C236C" w:rsidP="00A43F14">
            <w:pPr>
              <w:adjustRightInd w:val="0"/>
              <w:snapToGrid w:val="0"/>
              <w:jc w:val="center"/>
              <w:rPr>
                <w:rFonts w:cstheme="minorHAnsi"/>
              </w:rPr>
            </w:pPr>
          </w:p>
        </w:tc>
      </w:tr>
      <w:tr w:rsidR="009C236C" w:rsidRPr="00DA0EE6" w14:paraId="37BC9DBE" w14:textId="77777777" w:rsidTr="009C236C">
        <w:tc>
          <w:tcPr>
            <w:tcW w:w="1000" w:type="pct"/>
          </w:tcPr>
          <w:p w14:paraId="6C7CEB72" w14:textId="77777777" w:rsidR="009C236C" w:rsidRPr="00DA0EE6" w:rsidRDefault="009C236C" w:rsidP="009C236C">
            <w:pPr>
              <w:adjustRightInd w:val="0"/>
              <w:snapToGrid w:val="0"/>
              <w:rPr>
                <w:rFonts w:cstheme="minorHAnsi"/>
              </w:rPr>
            </w:pPr>
            <w:r w:rsidRPr="00DA0EE6">
              <w:rPr>
                <w:rFonts w:cstheme="minorHAnsi"/>
              </w:rPr>
              <w:t>Size Scalar</w:t>
            </w:r>
          </w:p>
        </w:tc>
        <w:tc>
          <w:tcPr>
            <w:tcW w:w="1000" w:type="pct"/>
          </w:tcPr>
          <w:p w14:paraId="0F6160B0" w14:textId="77777777" w:rsidR="009C236C" w:rsidRPr="00DA0EE6" w:rsidRDefault="009C236C" w:rsidP="009C236C">
            <w:pPr>
              <w:adjustRightInd w:val="0"/>
              <w:snapToGrid w:val="0"/>
              <w:jc w:val="center"/>
              <w:rPr>
                <w:rFonts w:cstheme="minorHAnsi"/>
              </w:rPr>
            </w:pPr>
            <w:r w:rsidRPr="00DA0EE6">
              <w:rPr>
                <w:rFonts w:cstheme="minorHAnsi"/>
              </w:rPr>
              <w:t>20</w:t>
            </w:r>
          </w:p>
        </w:tc>
        <w:tc>
          <w:tcPr>
            <w:tcW w:w="1000" w:type="pct"/>
          </w:tcPr>
          <w:p w14:paraId="25C7058C" w14:textId="77777777" w:rsidR="009C236C" w:rsidRPr="00DA0EE6" w:rsidRDefault="009C236C" w:rsidP="009C236C">
            <w:pPr>
              <w:adjustRightInd w:val="0"/>
              <w:snapToGrid w:val="0"/>
              <w:jc w:val="center"/>
              <w:rPr>
                <w:rFonts w:cstheme="minorHAnsi"/>
              </w:rPr>
            </w:pPr>
            <w:r w:rsidRPr="00DA0EE6">
              <w:rPr>
                <w:rFonts w:cstheme="minorHAnsi"/>
              </w:rPr>
              <w:t>60 *</w:t>
            </w:r>
          </w:p>
        </w:tc>
        <w:tc>
          <w:tcPr>
            <w:tcW w:w="1000" w:type="pct"/>
          </w:tcPr>
          <w:p w14:paraId="5F2C9BE2" w14:textId="77777777" w:rsidR="009C236C" w:rsidRPr="00DA0EE6" w:rsidRDefault="009C236C" w:rsidP="00311CC0">
            <w:pPr>
              <w:adjustRightInd w:val="0"/>
              <w:snapToGrid w:val="0"/>
              <w:jc w:val="center"/>
              <w:rPr>
                <w:rFonts w:cstheme="minorHAnsi"/>
              </w:rPr>
            </w:pPr>
            <w:r w:rsidRPr="00DA0EE6">
              <w:rPr>
                <w:rFonts w:cstheme="minorHAnsi"/>
              </w:rPr>
              <w:t>200</w:t>
            </w:r>
          </w:p>
        </w:tc>
        <w:tc>
          <w:tcPr>
            <w:tcW w:w="1000" w:type="pct"/>
          </w:tcPr>
          <w:p w14:paraId="4D6506A4" w14:textId="77777777" w:rsidR="009C236C" w:rsidRPr="00DA0EE6" w:rsidRDefault="009C236C" w:rsidP="00A43F14">
            <w:pPr>
              <w:adjustRightInd w:val="0"/>
              <w:snapToGrid w:val="0"/>
              <w:jc w:val="center"/>
              <w:rPr>
                <w:rFonts w:cstheme="minorHAnsi"/>
              </w:rPr>
            </w:pPr>
            <w:r w:rsidRPr="00DA0EE6">
              <w:rPr>
                <w:rFonts w:cstheme="minorHAnsi"/>
              </w:rPr>
              <w:t>500</w:t>
            </w:r>
          </w:p>
        </w:tc>
      </w:tr>
      <w:tr w:rsidR="009C236C" w:rsidRPr="00DA0EE6" w14:paraId="459F6A8F" w14:textId="77777777" w:rsidTr="009C236C">
        <w:tc>
          <w:tcPr>
            <w:tcW w:w="1000" w:type="pct"/>
          </w:tcPr>
          <w:p w14:paraId="59FC4588" w14:textId="77777777" w:rsidR="009C236C" w:rsidRPr="00DA0EE6" w:rsidRDefault="009C236C" w:rsidP="009C236C">
            <w:pPr>
              <w:adjustRightInd w:val="0"/>
              <w:snapToGrid w:val="0"/>
              <w:rPr>
                <w:rFonts w:cstheme="minorHAnsi"/>
              </w:rPr>
            </w:pPr>
            <w:r w:rsidRPr="00DA0EE6">
              <w:rPr>
                <w:rFonts w:cstheme="minorHAnsi"/>
              </w:rPr>
              <w:t>Mixing Period</w:t>
            </w:r>
          </w:p>
        </w:tc>
        <w:tc>
          <w:tcPr>
            <w:tcW w:w="1000" w:type="pct"/>
          </w:tcPr>
          <w:p w14:paraId="3E04657F" w14:textId="77777777" w:rsidR="009C236C" w:rsidRPr="00DA0EE6" w:rsidRDefault="009C236C" w:rsidP="009C236C">
            <w:pPr>
              <w:adjustRightInd w:val="0"/>
              <w:snapToGrid w:val="0"/>
              <w:jc w:val="center"/>
              <w:rPr>
                <w:rFonts w:cstheme="minorHAnsi"/>
              </w:rPr>
            </w:pPr>
            <w:r w:rsidRPr="00DA0EE6">
              <w:rPr>
                <w:rFonts w:cstheme="minorHAnsi"/>
              </w:rPr>
              <w:t>1 Quarter</w:t>
            </w:r>
          </w:p>
        </w:tc>
        <w:tc>
          <w:tcPr>
            <w:tcW w:w="1000" w:type="pct"/>
          </w:tcPr>
          <w:p w14:paraId="49B692FA" w14:textId="77777777" w:rsidR="009C236C" w:rsidRPr="00DA0EE6" w:rsidRDefault="009C236C" w:rsidP="009C236C">
            <w:pPr>
              <w:adjustRightInd w:val="0"/>
              <w:snapToGrid w:val="0"/>
              <w:jc w:val="center"/>
              <w:rPr>
                <w:rFonts w:cstheme="minorHAnsi"/>
              </w:rPr>
            </w:pPr>
            <w:r w:rsidRPr="00DA0EE6">
              <w:rPr>
                <w:rFonts w:cstheme="minorHAnsi"/>
              </w:rPr>
              <w:t>2 Quarters *</w:t>
            </w:r>
          </w:p>
        </w:tc>
        <w:tc>
          <w:tcPr>
            <w:tcW w:w="1000" w:type="pct"/>
          </w:tcPr>
          <w:p w14:paraId="7C31527D" w14:textId="77777777" w:rsidR="009C236C" w:rsidRPr="00DA0EE6" w:rsidRDefault="009C236C" w:rsidP="00311CC0">
            <w:pPr>
              <w:adjustRightInd w:val="0"/>
              <w:snapToGrid w:val="0"/>
              <w:jc w:val="center"/>
              <w:rPr>
                <w:rFonts w:cstheme="minorHAnsi"/>
              </w:rPr>
            </w:pPr>
          </w:p>
        </w:tc>
        <w:tc>
          <w:tcPr>
            <w:tcW w:w="1000" w:type="pct"/>
          </w:tcPr>
          <w:p w14:paraId="0B36852B" w14:textId="77777777" w:rsidR="009C236C" w:rsidRPr="00DA0EE6" w:rsidRDefault="009C236C" w:rsidP="00A43F14">
            <w:pPr>
              <w:adjustRightInd w:val="0"/>
              <w:snapToGrid w:val="0"/>
              <w:jc w:val="center"/>
              <w:rPr>
                <w:rFonts w:cstheme="minorHAnsi"/>
              </w:rPr>
            </w:pPr>
          </w:p>
        </w:tc>
      </w:tr>
    </w:tbl>
    <w:p w14:paraId="0FC7C2AC" w14:textId="77777777" w:rsidR="009C236C" w:rsidRPr="00DA0EE6" w:rsidRDefault="009C236C" w:rsidP="009C236C">
      <w:pPr>
        <w:adjustRightInd w:val="0"/>
        <w:snapToGrid w:val="0"/>
        <w:spacing w:after="0" w:line="240" w:lineRule="auto"/>
        <w:rPr>
          <w:rFonts w:cstheme="minorHAnsi"/>
          <w:b/>
        </w:rPr>
      </w:pPr>
    </w:p>
    <w:p w14:paraId="7D840856" w14:textId="77777777" w:rsidR="009C236C" w:rsidRPr="00DA0EE6" w:rsidRDefault="009C236C" w:rsidP="009C236C">
      <w:pPr>
        <w:adjustRightInd w:val="0"/>
        <w:snapToGrid w:val="0"/>
        <w:spacing w:after="0" w:line="240" w:lineRule="auto"/>
        <w:jc w:val="both"/>
        <w:rPr>
          <w:rFonts w:cstheme="minorHAnsi"/>
          <w:b/>
        </w:rPr>
      </w:pPr>
    </w:p>
    <w:p w14:paraId="5CEFA41C" w14:textId="77777777" w:rsidR="00194EBD" w:rsidRPr="00DA0EE6" w:rsidRDefault="00194EBD">
      <w:pPr>
        <w:rPr>
          <w:rFonts w:cstheme="minorHAnsi"/>
          <w:b/>
        </w:rPr>
      </w:pPr>
      <w:r w:rsidRPr="00DA0EE6">
        <w:rPr>
          <w:rFonts w:cstheme="minorHAnsi"/>
          <w:b/>
        </w:rPr>
        <w:br w:type="page"/>
      </w:r>
    </w:p>
    <w:p w14:paraId="4D40D2DD" w14:textId="0458C7A4" w:rsidR="009C236C" w:rsidRPr="00DA0EE6" w:rsidRDefault="009C236C" w:rsidP="009C236C">
      <w:pPr>
        <w:adjustRightInd w:val="0"/>
        <w:snapToGrid w:val="0"/>
        <w:spacing w:after="0" w:line="240" w:lineRule="auto"/>
        <w:jc w:val="both"/>
        <w:rPr>
          <w:rFonts w:cstheme="minorHAnsi"/>
        </w:rPr>
      </w:pPr>
      <w:r w:rsidRPr="00DA0EE6">
        <w:rPr>
          <w:rFonts w:cstheme="minorHAnsi"/>
          <w:b/>
        </w:rPr>
        <w:lastRenderedPageBreak/>
        <w:t>Table YFT-2.</w:t>
      </w:r>
      <w:r w:rsidRPr="00DA0EE6">
        <w:rPr>
          <w:rFonts w:cstheme="minorHAnsi"/>
        </w:rPr>
        <w:t xml:space="preserve"> Summary of reference points over the 72 models in the structural uncertainty grid. Note that “recent” is the average over the period 2015-2018 for SB and 2014-2017 for fishing mortality, while “latest” is 2018. The values of the upper 90th and lower 10th percentiles of the empirical distributions are also shown.  </w:t>
      </w:r>
      <w:proofErr w:type="spellStart"/>
      <w:r w:rsidRPr="00DA0EE6">
        <w:rPr>
          <w:rFonts w:cstheme="minorHAnsi"/>
        </w:rPr>
        <w:t>F</w:t>
      </w:r>
      <w:r w:rsidRPr="00DA0EE6">
        <w:rPr>
          <w:rFonts w:cstheme="minorHAnsi"/>
          <w:vertAlign w:val="subscript"/>
        </w:rPr>
        <w:t>mult</w:t>
      </w:r>
      <w:proofErr w:type="spellEnd"/>
      <w:r w:rsidRPr="00DA0EE6">
        <w:rPr>
          <w:rFonts w:cstheme="minorHAnsi"/>
        </w:rPr>
        <w:t xml:space="preserve"> is the multiplier of recent (2014-2017) fishing mortality required to attain MSY. </w:t>
      </w:r>
    </w:p>
    <w:tbl>
      <w:tblPr>
        <w:tblW w:w="5000" w:type="pct"/>
        <w:tblBorders>
          <w:top w:val="single" w:sz="4" w:space="0" w:color="auto"/>
          <w:bottom w:val="single" w:sz="4" w:space="0" w:color="auto"/>
        </w:tblBorders>
        <w:tblLook w:val="04A0" w:firstRow="1" w:lastRow="0" w:firstColumn="1" w:lastColumn="0" w:noHBand="0" w:noVBand="1"/>
      </w:tblPr>
      <w:tblGrid>
        <w:gridCol w:w="1622"/>
        <w:gridCol w:w="1107"/>
        <w:gridCol w:w="1154"/>
        <w:gridCol w:w="1178"/>
        <w:gridCol w:w="1543"/>
        <w:gridCol w:w="1543"/>
        <w:gridCol w:w="1213"/>
      </w:tblGrid>
      <w:tr w:rsidR="009C236C" w:rsidRPr="00DA0EE6" w14:paraId="40C1F678" w14:textId="77777777" w:rsidTr="009C236C">
        <w:trPr>
          <w:trHeight w:val="440"/>
        </w:trPr>
        <w:tc>
          <w:tcPr>
            <w:tcW w:w="867" w:type="pct"/>
            <w:tcBorders>
              <w:top w:val="single" w:sz="4" w:space="0" w:color="auto"/>
              <w:bottom w:val="single" w:sz="4" w:space="0" w:color="auto"/>
            </w:tcBorders>
            <w:shd w:val="clear" w:color="auto" w:fill="D9D9D9" w:themeFill="background1" w:themeFillShade="D9"/>
            <w:noWrap/>
            <w:vAlign w:val="center"/>
          </w:tcPr>
          <w:p w14:paraId="4AE6396F" w14:textId="77777777" w:rsidR="009C236C" w:rsidRPr="00DA0EE6" w:rsidRDefault="009C236C" w:rsidP="009C236C">
            <w:pPr>
              <w:adjustRightInd w:val="0"/>
              <w:snapToGrid w:val="0"/>
              <w:spacing w:after="0" w:line="240" w:lineRule="auto"/>
              <w:jc w:val="center"/>
              <w:rPr>
                <w:rFonts w:cstheme="minorHAnsi"/>
                <w:b/>
                <w:bCs/>
                <w:color w:val="000000"/>
                <w:lang w:eastAsia="en-AU"/>
              </w:rPr>
            </w:pPr>
          </w:p>
        </w:tc>
        <w:tc>
          <w:tcPr>
            <w:tcW w:w="588" w:type="pct"/>
            <w:tcBorders>
              <w:top w:val="single" w:sz="4" w:space="0" w:color="auto"/>
              <w:bottom w:val="single" w:sz="4" w:space="0" w:color="auto"/>
            </w:tcBorders>
            <w:shd w:val="clear" w:color="auto" w:fill="D9D9D9" w:themeFill="background1" w:themeFillShade="D9"/>
            <w:noWrap/>
            <w:vAlign w:val="center"/>
          </w:tcPr>
          <w:p w14:paraId="7D36264C"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Mean</w:t>
            </w:r>
          </w:p>
        </w:tc>
        <w:tc>
          <w:tcPr>
            <w:tcW w:w="617" w:type="pct"/>
            <w:tcBorders>
              <w:top w:val="single" w:sz="4" w:space="0" w:color="auto"/>
              <w:bottom w:val="single" w:sz="4" w:space="0" w:color="auto"/>
            </w:tcBorders>
            <w:shd w:val="clear" w:color="auto" w:fill="D9D9D9" w:themeFill="background1" w:themeFillShade="D9"/>
            <w:noWrap/>
            <w:vAlign w:val="center"/>
          </w:tcPr>
          <w:p w14:paraId="21681CAF"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Median</w:t>
            </w:r>
          </w:p>
        </w:tc>
        <w:tc>
          <w:tcPr>
            <w:tcW w:w="630" w:type="pct"/>
            <w:tcBorders>
              <w:top w:val="single" w:sz="4" w:space="0" w:color="auto"/>
              <w:bottom w:val="single" w:sz="4" w:space="0" w:color="auto"/>
            </w:tcBorders>
            <w:shd w:val="clear" w:color="auto" w:fill="D9D9D9" w:themeFill="background1" w:themeFillShade="D9"/>
            <w:noWrap/>
            <w:vAlign w:val="center"/>
          </w:tcPr>
          <w:p w14:paraId="32212EC8"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Minimum</w:t>
            </w:r>
          </w:p>
        </w:tc>
        <w:tc>
          <w:tcPr>
            <w:tcW w:w="825" w:type="pct"/>
            <w:tcBorders>
              <w:top w:val="single" w:sz="4" w:space="0" w:color="auto"/>
              <w:bottom w:val="single" w:sz="4" w:space="0" w:color="auto"/>
            </w:tcBorders>
            <w:shd w:val="clear" w:color="auto" w:fill="D9D9D9" w:themeFill="background1" w:themeFillShade="D9"/>
            <w:noWrap/>
            <w:vAlign w:val="center"/>
          </w:tcPr>
          <w:p w14:paraId="3E0C73E4"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10</w:t>
            </w:r>
            <w:r w:rsidRPr="00DA0EE6">
              <w:rPr>
                <w:rFonts w:cstheme="minorHAnsi"/>
                <w:b/>
                <w:bCs/>
                <w:color w:val="000000"/>
                <w:vertAlign w:val="superscript"/>
                <w:lang w:eastAsia="en-AU"/>
              </w:rPr>
              <w:t>th</w:t>
            </w:r>
            <w:r w:rsidRPr="00DA0EE6">
              <w:rPr>
                <w:rFonts w:cstheme="minorHAnsi"/>
                <w:b/>
                <w:bCs/>
                <w:color w:val="000000"/>
                <w:lang w:eastAsia="en-AU"/>
              </w:rPr>
              <w:t xml:space="preserve"> percentile</w:t>
            </w:r>
          </w:p>
        </w:tc>
        <w:tc>
          <w:tcPr>
            <w:tcW w:w="825" w:type="pct"/>
            <w:tcBorders>
              <w:top w:val="single" w:sz="4" w:space="0" w:color="auto"/>
              <w:bottom w:val="single" w:sz="4" w:space="0" w:color="auto"/>
            </w:tcBorders>
            <w:shd w:val="clear" w:color="auto" w:fill="D9D9D9" w:themeFill="background1" w:themeFillShade="D9"/>
            <w:noWrap/>
            <w:vAlign w:val="center"/>
          </w:tcPr>
          <w:p w14:paraId="7EC6C55F"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90</w:t>
            </w:r>
            <w:r w:rsidRPr="00DA0EE6">
              <w:rPr>
                <w:rFonts w:cstheme="minorHAnsi"/>
                <w:b/>
                <w:bCs/>
                <w:color w:val="000000"/>
                <w:vertAlign w:val="superscript"/>
                <w:lang w:eastAsia="en-AU"/>
              </w:rPr>
              <w:t>th</w:t>
            </w:r>
            <w:r w:rsidRPr="00DA0EE6">
              <w:rPr>
                <w:rFonts w:cstheme="minorHAnsi"/>
                <w:b/>
                <w:bCs/>
                <w:color w:val="000000"/>
                <w:lang w:eastAsia="en-AU"/>
              </w:rPr>
              <w:t xml:space="preserve"> percentile</w:t>
            </w:r>
          </w:p>
        </w:tc>
        <w:tc>
          <w:tcPr>
            <w:tcW w:w="649" w:type="pct"/>
            <w:tcBorders>
              <w:top w:val="single" w:sz="4" w:space="0" w:color="auto"/>
              <w:bottom w:val="single" w:sz="4" w:space="0" w:color="auto"/>
            </w:tcBorders>
            <w:shd w:val="clear" w:color="auto" w:fill="D9D9D9" w:themeFill="background1" w:themeFillShade="D9"/>
            <w:noWrap/>
            <w:vAlign w:val="center"/>
            <w:hideMark/>
          </w:tcPr>
          <w:p w14:paraId="2A8EBBA8" w14:textId="77777777" w:rsidR="009C236C" w:rsidRPr="00DA0EE6" w:rsidRDefault="009C236C" w:rsidP="009C236C">
            <w:pPr>
              <w:adjustRightInd w:val="0"/>
              <w:snapToGrid w:val="0"/>
              <w:spacing w:after="0" w:line="240" w:lineRule="auto"/>
              <w:jc w:val="center"/>
              <w:rPr>
                <w:rFonts w:cstheme="minorHAnsi"/>
                <w:b/>
                <w:bCs/>
                <w:color w:val="000000"/>
                <w:lang w:eastAsia="en-AU"/>
              </w:rPr>
            </w:pPr>
            <w:r w:rsidRPr="00DA0EE6">
              <w:rPr>
                <w:rFonts w:cstheme="minorHAnsi"/>
                <w:b/>
                <w:bCs/>
                <w:color w:val="000000"/>
                <w:lang w:eastAsia="en-AU"/>
              </w:rPr>
              <w:t>Maximum</w:t>
            </w:r>
          </w:p>
        </w:tc>
      </w:tr>
      <w:tr w:rsidR="009C236C" w:rsidRPr="00DA0EE6" w14:paraId="564EFEF5" w14:textId="77777777" w:rsidTr="009C236C">
        <w:trPr>
          <w:trHeight w:val="280"/>
        </w:trPr>
        <w:tc>
          <w:tcPr>
            <w:tcW w:w="867" w:type="pct"/>
            <w:tcBorders>
              <w:top w:val="single" w:sz="4" w:space="0" w:color="auto"/>
            </w:tcBorders>
            <w:shd w:val="clear" w:color="auto" w:fill="auto"/>
            <w:noWrap/>
            <w:vAlign w:val="bottom"/>
            <w:hideMark/>
          </w:tcPr>
          <w:p w14:paraId="6C193CA6" w14:textId="77777777" w:rsidR="009C236C" w:rsidRPr="00DA0EE6" w:rsidRDefault="009C236C" w:rsidP="009C236C">
            <w:pPr>
              <w:adjustRightInd w:val="0"/>
              <w:snapToGrid w:val="0"/>
              <w:spacing w:after="0" w:line="240" w:lineRule="auto"/>
              <w:rPr>
                <w:rFonts w:cstheme="minorHAnsi"/>
                <w:color w:val="000000"/>
                <w:lang w:eastAsia="en-AU"/>
              </w:rPr>
            </w:pPr>
            <w:proofErr w:type="spellStart"/>
            <w:r w:rsidRPr="00DA0EE6">
              <w:rPr>
                <w:rFonts w:cstheme="minorHAnsi"/>
                <w:color w:val="000000"/>
                <w:lang w:eastAsia="en-AU"/>
              </w:rPr>
              <w:t>C</w:t>
            </w:r>
            <w:r w:rsidRPr="00DA0EE6">
              <w:rPr>
                <w:rFonts w:cstheme="minorHAnsi"/>
                <w:color w:val="000000"/>
                <w:vertAlign w:val="subscript"/>
                <w:lang w:eastAsia="en-AU"/>
              </w:rPr>
              <w:t>latest</w:t>
            </w:r>
            <w:proofErr w:type="spellEnd"/>
          </w:p>
        </w:tc>
        <w:tc>
          <w:tcPr>
            <w:tcW w:w="588" w:type="pct"/>
            <w:tcBorders>
              <w:top w:val="single" w:sz="4" w:space="0" w:color="auto"/>
            </w:tcBorders>
            <w:shd w:val="clear" w:color="auto" w:fill="auto"/>
            <w:noWrap/>
          </w:tcPr>
          <w:p w14:paraId="1F388B1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709,389</w:t>
            </w:r>
          </w:p>
        </w:tc>
        <w:tc>
          <w:tcPr>
            <w:tcW w:w="617" w:type="pct"/>
            <w:tcBorders>
              <w:top w:val="single" w:sz="4" w:space="0" w:color="auto"/>
            </w:tcBorders>
            <w:shd w:val="clear" w:color="auto" w:fill="auto"/>
            <w:noWrap/>
          </w:tcPr>
          <w:p w14:paraId="573CC2A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711,072</w:t>
            </w:r>
          </w:p>
        </w:tc>
        <w:tc>
          <w:tcPr>
            <w:tcW w:w="630" w:type="pct"/>
            <w:tcBorders>
              <w:top w:val="single" w:sz="4" w:space="0" w:color="auto"/>
            </w:tcBorders>
            <w:shd w:val="clear" w:color="auto" w:fill="auto"/>
            <w:noWrap/>
          </w:tcPr>
          <w:p w14:paraId="51045D9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700,358</w:t>
            </w:r>
          </w:p>
        </w:tc>
        <w:tc>
          <w:tcPr>
            <w:tcW w:w="825" w:type="pct"/>
            <w:tcBorders>
              <w:top w:val="single" w:sz="4" w:space="0" w:color="auto"/>
            </w:tcBorders>
            <w:shd w:val="clear" w:color="auto" w:fill="auto"/>
            <w:noWrap/>
          </w:tcPr>
          <w:p w14:paraId="2F86D999"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702,279</w:t>
            </w:r>
          </w:p>
        </w:tc>
        <w:tc>
          <w:tcPr>
            <w:tcW w:w="825" w:type="pct"/>
            <w:tcBorders>
              <w:top w:val="single" w:sz="4" w:space="0" w:color="auto"/>
            </w:tcBorders>
            <w:shd w:val="clear" w:color="auto" w:fill="auto"/>
            <w:noWrap/>
          </w:tcPr>
          <w:p w14:paraId="63568C76"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712,761</w:t>
            </w:r>
          </w:p>
        </w:tc>
        <w:tc>
          <w:tcPr>
            <w:tcW w:w="649" w:type="pct"/>
            <w:tcBorders>
              <w:top w:val="single" w:sz="4" w:space="0" w:color="auto"/>
            </w:tcBorders>
            <w:shd w:val="clear" w:color="auto" w:fill="auto"/>
            <w:noWrap/>
          </w:tcPr>
          <w:p w14:paraId="0A576875"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714,073</w:t>
            </w:r>
          </w:p>
        </w:tc>
      </w:tr>
      <w:tr w:rsidR="009C236C" w:rsidRPr="00DA0EE6" w14:paraId="51F81065" w14:textId="77777777" w:rsidTr="009C236C">
        <w:trPr>
          <w:trHeight w:val="280"/>
        </w:trPr>
        <w:tc>
          <w:tcPr>
            <w:tcW w:w="867" w:type="pct"/>
            <w:shd w:val="clear" w:color="auto" w:fill="auto"/>
            <w:noWrap/>
            <w:vAlign w:val="bottom"/>
            <w:hideMark/>
          </w:tcPr>
          <w:p w14:paraId="2F97EE86" w14:textId="77777777" w:rsidR="009C236C" w:rsidRPr="00DA0EE6" w:rsidRDefault="009C236C" w:rsidP="009C236C">
            <w:pPr>
              <w:adjustRightInd w:val="0"/>
              <w:snapToGrid w:val="0"/>
              <w:spacing w:after="0" w:line="240" w:lineRule="auto"/>
              <w:rPr>
                <w:rFonts w:cstheme="minorHAnsi"/>
                <w:color w:val="000000"/>
                <w:lang w:eastAsia="en-AU"/>
              </w:rPr>
            </w:pPr>
            <w:proofErr w:type="spellStart"/>
            <w:r w:rsidRPr="00DA0EE6">
              <w:rPr>
                <w:rFonts w:cstheme="minorHAnsi"/>
                <w:color w:val="000000"/>
                <w:lang w:eastAsia="en-AU"/>
              </w:rPr>
              <w:t>Y</w:t>
            </w:r>
            <w:r w:rsidRPr="00DA0EE6">
              <w:rPr>
                <w:rFonts w:cstheme="minorHAnsi"/>
                <w:color w:val="000000"/>
                <w:vertAlign w:val="subscript"/>
                <w:lang w:eastAsia="en-AU"/>
              </w:rPr>
              <w:t>Frecent</w:t>
            </w:r>
            <w:proofErr w:type="spellEnd"/>
          </w:p>
        </w:tc>
        <w:tc>
          <w:tcPr>
            <w:tcW w:w="588" w:type="pct"/>
            <w:shd w:val="clear" w:color="auto" w:fill="auto"/>
            <w:noWrap/>
          </w:tcPr>
          <w:p w14:paraId="72A64545"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779,872</w:t>
            </w:r>
          </w:p>
        </w:tc>
        <w:tc>
          <w:tcPr>
            <w:tcW w:w="617" w:type="pct"/>
            <w:shd w:val="clear" w:color="auto" w:fill="auto"/>
            <w:noWrap/>
          </w:tcPr>
          <w:p w14:paraId="6FBC69EA"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784,200</w:t>
            </w:r>
          </w:p>
        </w:tc>
        <w:tc>
          <w:tcPr>
            <w:tcW w:w="630" w:type="pct"/>
            <w:shd w:val="clear" w:color="auto" w:fill="auto"/>
            <w:noWrap/>
          </w:tcPr>
          <w:p w14:paraId="2A382DF8"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661,600</w:t>
            </w:r>
          </w:p>
        </w:tc>
        <w:tc>
          <w:tcPr>
            <w:tcW w:w="825" w:type="pct"/>
            <w:shd w:val="clear" w:color="auto" w:fill="auto"/>
            <w:noWrap/>
          </w:tcPr>
          <w:p w14:paraId="4848559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707,720</w:t>
            </w:r>
          </w:p>
        </w:tc>
        <w:tc>
          <w:tcPr>
            <w:tcW w:w="825" w:type="pct"/>
            <w:shd w:val="clear" w:color="auto" w:fill="auto"/>
            <w:noWrap/>
          </w:tcPr>
          <w:p w14:paraId="1A085B2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877,040</w:t>
            </w:r>
          </w:p>
        </w:tc>
        <w:tc>
          <w:tcPr>
            <w:tcW w:w="649" w:type="pct"/>
            <w:shd w:val="clear" w:color="auto" w:fill="auto"/>
            <w:noWrap/>
          </w:tcPr>
          <w:p w14:paraId="4D9E6E3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908,000</w:t>
            </w:r>
          </w:p>
        </w:tc>
      </w:tr>
      <w:tr w:rsidR="009C236C" w:rsidRPr="00DA0EE6" w14:paraId="16636DCE" w14:textId="77777777" w:rsidTr="009C236C">
        <w:trPr>
          <w:trHeight w:val="280"/>
        </w:trPr>
        <w:tc>
          <w:tcPr>
            <w:tcW w:w="867" w:type="pct"/>
            <w:shd w:val="clear" w:color="auto" w:fill="auto"/>
            <w:noWrap/>
            <w:vAlign w:val="bottom"/>
            <w:hideMark/>
          </w:tcPr>
          <w:p w14:paraId="3499E4A9" w14:textId="77777777" w:rsidR="009C236C" w:rsidRPr="00DA0EE6" w:rsidRDefault="009C236C" w:rsidP="009C236C">
            <w:pPr>
              <w:adjustRightInd w:val="0"/>
              <w:snapToGrid w:val="0"/>
              <w:spacing w:after="0" w:line="240" w:lineRule="auto"/>
              <w:rPr>
                <w:rFonts w:cstheme="minorHAnsi"/>
                <w:color w:val="000000"/>
                <w:lang w:eastAsia="en-AU"/>
              </w:rPr>
            </w:pPr>
            <w:proofErr w:type="spellStart"/>
            <w:r w:rsidRPr="00DA0EE6">
              <w:rPr>
                <w:rFonts w:cstheme="minorHAnsi"/>
                <w:color w:val="000000"/>
                <w:lang w:eastAsia="en-AU"/>
              </w:rPr>
              <w:t>f</w:t>
            </w:r>
            <w:r w:rsidRPr="00DA0EE6">
              <w:rPr>
                <w:rFonts w:cstheme="minorHAnsi"/>
                <w:color w:val="000000"/>
                <w:vertAlign w:val="subscript"/>
                <w:lang w:eastAsia="en-AU"/>
              </w:rPr>
              <w:t>mult</w:t>
            </w:r>
            <w:proofErr w:type="spellEnd"/>
          </w:p>
        </w:tc>
        <w:tc>
          <w:tcPr>
            <w:tcW w:w="588" w:type="pct"/>
            <w:shd w:val="clear" w:color="auto" w:fill="auto"/>
            <w:noWrap/>
          </w:tcPr>
          <w:p w14:paraId="0EE5E570"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2.87</w:t>
            </w:r>
          </w:p>
        </w:tc>
        <w:tc>
          <w:tcPr>
            <w:tcW w:w="617" w:type="pct"/>
            <w:shd w:val="clear" w:color="auto" w:fill="auto"/>
            <w:noWrap/>
          </w:tcPr>
          <w:p w14:paraId="249FBC73"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2.80</w:t>
            </w:r>
          </w:p>
        </w:tc>
        <w:tc>
          <w:tcPr>
            <w:tcW w:w="630" w:type="pct"/>
            <w:shd w:val="clear" w:color="auto" w:fill="auto"/>
            <w:noWrap/>
          </w:tcPr>
          <w:p w14:paraId="1F0D5B8D"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1.70</w:t>
            </w:r>
          </w:p>
        </w:tc>
        <w:tc>
          <w:tcPr>
            <w:tcW w:w="825" w:type="pct"/>
            <w:shd w:val="clear" w:color="auto" w:fill="auto"/>
            <w:noWrap/>
          </w:tcPr>
          <w:p w14:paraId="5E7DE68B"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2.12</w:t>
            </w:r>
          </w:p>
        </w:tc>
        <w:tc>
          <w:tcPr>
            <w:tcW w:w="825" w:type="pct"/>
            <w:shd w:val="clear" w:color="auto" w:fill="auto"/>
            <w:noWrap/>
          </w:tcPr>
          <w:p w14:paraId="1F0256CA"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3.72</w:t>
            </w:r>
          </w:p>
        </w:tc>
        <w:tc>
          <w:tcPr>
            <w:tcW w:w="649" w:type="pct"/>
            <w:shd w:val="clear" w:color="auto" w:fill="auto"/>
            <w:noWrap/>
          </w:tcPr>
          <w:p w14:paraId="37C83343"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4.29</w:t>
            </w:r>
          </w:p>
        </w:tc>
      </w:tr>
      <w:tr w:rsidR="009C236C" w:rsidRPr="00DA0EE6" w14:paraId="0EB16748" w14:textId="77777777" w:rsidTr="009C236C">
        <w:trPr>
          <w:trHeight w:val="280"/>
        </w:trPr>
        <w:tc>
          <w:tcPr>
            <w:tcW w:w="867" w:type="pct"/>
            <w:shd w:val="clear" w:color="auto" w:fill="auto"/>
            <w:noWrap/>
            <w:vAlign w:val="bottom"/>
            <w:hideMark/>
          </w:tcPr>
          <w:p w14:paraId="7F7830DA"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F</w:t>
            </w:r>
            <w:r w:rsidRPr="00DA0EE6">
              <w:rPr>
                <w:rFonts w:cstheme="minorHAnsi"/>
                <w:color w:val="000000"/>
                <w:vertAlign w:val="subscript"/>
                <w:lang w:eastAsia="en-AU"/>
              </w:rPr>
              <w:t>MSY</w:t>
            </w:r>
          </w:p>
        </w:tc>
        <w:tc>
          <w:tcPr>
            <w:tcW w:w="588" w:type="pct"/>
            <w:shd w:val="clear" w:color="auto" w:fill="auto"/>
            <w:noWrap/>
          </w:tcPr>
          <w:p w14:paraId="40F7242A"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0.11</w:t>
            </w:r>
          </w:p>
        </w:tc>
        <w:tc>
          <w:tcPr>
            <w:tcW w:w="617" w:type="pct"/>
            <w:shd w:val="clear" w:color="auto" w:fill="auto"/>
            <w:noWrap/>
          </w:tcPr>
          <w:p w14:paraId="64333A98"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0.10</w:t>
            </w:r>
          </w:p>
        </w:tc>
        <w:tc>
          <w:tcPr>
            <w:tcW w:w="630" w:type="pct"/>
            <w:shd w:val="clear" w:color="auto" w:fill="auto"/>
            <w:noWrap/>
          </w:tcPr>
          <w:p w14:paraId="1C5BC32B"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0.08</w:t>
            </w:r>
          </w:p>
        </w:tc>
        <w:tc>
          <w:tcPr>
            <w:tcW w:w="825" w:type="pct"/>
            <w:shd w:val="clear" w:color="auto" w:fill="auto"/>
            <w:noWrap/>
          </w:tcPr>
          <w:p w14:paraId="075B1C52"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0.09</w:t>
            </w:r>
          </w:p>
        </w:tc>
        <w:tc>
          <w:tcPr>
            <w:tcW w:w="825" w:type="pct"/>
            <w:shd w:val="clear" w:color="auto" w:fill="auto"/>
            <w:noWrap/>
          </w:tcPr>
          <w:p w14:paraId="4D5A2525"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0.12</w:t>
            </w:r>
          </w:p>
        </w:tc>
        <w:tc>
          <w:tcPr>
            <w:tcW w:w="649" w:type="pct"/>
            <w:shd w:val="clear" w:color="auto" w:fill="auto"/>
            <w:noWrap/>
          </w:tcPr>
          <w:p w14:paraId="164FCE7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0.15</w:t>
            </w:r>
          </w:p>
        </w:tc>
      </w:tr>
      <w:tr w:rsidR="009C236C" w:rsidRPr="00DA0EE6" w14:paraId="62BA44DE" w14:textId="77777777" w:rsidTr="009C236C">
        <w:trPr>
          <w:trHeight w:val="280"/>
        </w:trPr>
        <w:tc>
          <w:tcPr>
            <w:tcW w:w="867" w:type="pct"/>
            <w:shd w:val="clear" w:color="auto" w:fill="auto"/>
            <w:noWrap/>
            <w:vAlign w:val="bottom"/>
            <w:hideMark/>
          </w:tcPr>
          <w:p w14:paraId="46D3EEC7"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MSY</w:t>
            </w:r>
          </w:p>
        </w:tc>
        <w:tc>
          <w:tcPr>
            <w:tcW w:w="588" w:type="pct"/>
            <w:shd w:val="clear" w:color="auto" w:fill="auto"/>
            <w:noWrap/>
          </w:tcPr>
          <w:p w14:paraId="4B7C15EB"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1,090,706</w:t>
            </w:r>
          </w:p>
        </w:tc>
        <w:tc>
          <w:tcPr>
            <w:tcW w:w="617" w:type="pct"/>
            <w:shd w:val="clear" w:color="auto" w:fill="auto"/>
            <w:noWrap/>
          </w:tcPr>
          <w:p w14:paraId="7261B91A"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1,091,200</w:t>
            </w:r>
          </w:p>
        </w:tc>
        <w:tc>
          <w:tcPr>
            <w:tcW w:w="630" w:type="pct"/>
            <w:shd w:val="clear" w:color="auto" w:fill="auto"/>
            <w:noWrap/>
          </w:tcPr>
          <w:p w14:paraId="2A070765"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791,600</w:t>
            </w:r>
          </w:p>
        </w:tc>
        <w:tc>
          <w:tcPr>
            <w:tcW w:w="825" w:type="pct"/>
            <w:shd w:val="clear" w:color="auto" w:fill="auto"/>
            <w:noWrap/>
          </w:tcPr>
          <w:p w14:paraId="6AB3655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874,200</w:t>
            </w:r>
          </w:p>
        </w:tc>
        <w:tc>
          <w:tcPr>
            <w:tcW w:w="825" w:type="pct"/>
            <w:shd w:val="clear" w:color="auto" w:fill="auto"/>
            <w:noWrap/>
          </w:tcPr>
          <w:p w14:paraId="7F44790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1,283,920</w:t>
            </w:r>
          </w:p>
        </w:tc>
        <w:tc>
          <w:tcPr>
            <w:tcW w:w="649" w:type="pct"/>
            <w:shd w:val="clear" w:color="auto" w:fill="auto"/>
            <w:noWrap/>
          </w:tcPr>
          <w:p w14:paraId="00E4C08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1,344,400</w:t>
            </w:r>
          </w:p>
        </w:tc>
      </w:tr>
      <w:tr w:rsidR="009C236C" w:rsidRPr="00DA0EE6" w14:paraId="2FACE6C3" w14:textId="77777777" w:rsidTr="009C236C">
        <w:trPr>
          <w:trHeight w:val="280"/>
        </w:trPr>
        <w:tc>
          <w:tcPr>
            <w:tcW w:w="867" w:type="pct"/>
            <w:shd w:val="clear" w:color="auto" w:fill="auto"/>
            <w:noWrap/>
            <w:vAlign w:val="bottom"/>
            <w:hideMark/>
          </w:tcPr>
          <w:p w14:paraId="1EF0EC57" w14:textId="77777777" w:rsidR="009C236C" w:rsidRPr="00DA0EE6" w:rsidRDefault="009C236C" w:rsidP="009C236C">
            <w:pPr>
              <w:adjustRightInd w:val="0"/>
              <w:snapToGrid w:val="0"/>
              <w:spacing w:after="0" w:line="240" w:lineRule="auto"/>
              <w:rPr>
                <w:rFonts w:cstheme="minorHAnsi"/>
                <w:color w:val="000000"/>
                <w:lang w:eastAsia="en-AU"/>
              </w:rPr>
            </w:pPr>
            <w:proofErr w:type="spellStart"/>
            <w:r w:rsidRPr="00DA0EE6">
              <w:rPr>
                <w:rFonts w:cstheme="minorHAnsi"/>
                <w:color w:val="000000"/>
                <w:lang w:eastAsia="en-AU"/>
              </w:rPr>
              <w:t>F</w:t>
            </w:r>
            <w:r w:rsidRPr="00DA0EE6">
              <w:rPr>
                <w:rFonts w:cstheme="minorHAnsi"/>
                <w:color w:val="000000"/>
                <w:vertAlign w:val="subscript"/>
                <w:lang w:eastAsia="en-AU"/>
              </w:rPr>
              <w:t>recent</w:t>
            </w:r>
            <w:proofErr w:type="spellEnd"/>
            <w:r w:rsidRPr="00DA0EE6">
              <w:rPr>
                <w:rFonts w:cstheme="minorHAnsi"/>
                <w:color w:val="000000"/>
                <w:lang w:eastAsia="en-AU"/>
              </w:rPr>
              <w:t>/F</w:t>
            </w:r>
            <w:r w:rsidRPr="00DA0EE6">
              <w:rPr>
                <w:rFonts w:cstheme="minorHAnsi"/>
                <w:color w:val="000000"/>
                <w:vertAlign w:val="subscript"/>
                <w:lang w:eastAsia="en-AU"/>
              </w:rPr>
              <w:t>MSY</w:t>
            </w:r>
          </w:p>
        </w:tc>
        <w:tc>
          <w:tcPr>
            <w:tcW w:w="588" w:type="pct"/>
            <w:shd w:val="clear" w:color="auto" w:fill="auto"/>
            <w:noWrap/>
          </w:tcPr>
          <w:p w14:paraId="1BA795E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0.37</w:t>
            </w:r>
          </w:p>
        </w:tc>
        <w:tc>
          <w:tcPr>
            <w:tcW w:w="617" w:type="pct"/>
            <w:shd w:val="clear" w:color="auto" w:fill="auto"/>
            <w:noWrap/>
          </w:tcPr>
          <w:p w14:paraId="072F9A8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0.36</w:t>
            </w:r>
          </w:p>
        </w:tc>
        <w:tc>
          <w:tcPr>
            <w:tcW w:w="630" w:type="pct"/>
            <w:shd w:val="clear" w:color="auto" w:fill="auto"/>
            <w:noWrap/>
          </w:tcPr>
          <w:p w14:paraId="48475F4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0.23</w:t>
            </w:r>
          </w:p>
        </w:tc>
        <w:tc>
          <w:tcPr>
            <w:tcW w:w="825" w:type="pct"/>
            <w:shd w:val="clear" w:color="auto" w:fill="auto"/>
            <w:noWrap/>
          </w:tcPr>
          <w:p w14:paraId="751E9F13"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0.27</w:t>
            </w:r>
          </w:p>
        </w:tc>
        <w:tc>
          <w:tcPr>
            <w:tcW w:w="825" w:type="pct"/>
            <w:shd w:val="clear" w:color="auto" w:fill="auto"/>
            <w:noWrap/>
          </w:tcPr>
          <w:p w14:paraId="32C980E8"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0.47</w:t>
            </w:r>
          </w:p>
        </w:tc>
        <w:tc>
          <w:tcPr>
            <w:tcW w:w="649" w:type="pct"/>
            <w:shd w:val="clear" w:color="auto" w:fill="auto"/>
            <w:noWrap/>
          </w:tcPr>
          <w:p w14:paraId="7763186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0.59</w:t>
            </w:r>
          </w:p>
        </w:tc>
      </w:tr>
      <w:tr w:rsidR="009C236C" w:rsidRPr="00DA0EE6" w14:paraId="0DDA1788" w14:textId="77777777" w:rsidTr="009C236C">
        <w:trPr>
          <w:trHeight w:val="280"/>
        </w:trPr>
        <w:tc>
          <w:tcPr>
            <w:tcW w:w="867" w:type="pct"/>
            <w:shd w:val="clear" w:color="auto" w:fill="auto"/>
            <w:noWrap/>
            <w:vAlign w:val="bottom"/>
            <w:hideMark/>
          </w:tcPr>
          <w:p w14:paraId="171DA6AD"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SB</w:t>
            </w:r>
            <w:r w:rsidRPr="00DA0EE6">
              <w:rPr>
                <w:rFonts w:cstheme="minorHAnsi"/>
                <w:color w:val="000000"/>
                <w:vertAlign w:val="subscript"/>
                <w:lang w:eastAsia="en-AU"/>
              </w:rPr>
              <w:t>F=0</w:t>
            </w:r>
          </w:p>
        </w:tc>
        <w:tc>
          <w:tcPr>
            <w:tcW w:w="588" w:type="pct"/>
            <w:shd w:val="clear" w:color="auto" w:fill="auto"/>
            <w:noWrap/>
          </w:tcPr>
          <w:p w14:paraId="678FFA89"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3,641,228</w:t>
            </w:r>
          </w:p>
        </w:tc>
        <w:tc>
          <w:tcPr>
            <w:tcW w:w="617" w:type="pct"/>
            <w:shd w:val="clear" w:color="auto" w:fill="auto"/>
            <w:noWrap/>
          </w:tcPr>
          <w:p w14:paraId="198B42BF"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3,603,980</w:t>
            </w:r>
          </w:p>
        </w:tc>
        <w:tc>
          <w:tcPr>
            <w:tcW w:w="630" w:type="pct"/>
            <w:shd w:val="clear" w:color="auto" w:fill="auto"/>
            <w:noWrap/>
          </w:tcPr>
          <w:p w14:paraId="0E8C5F39"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2,893,274</w:t>
            </w:r>
          </w:p>
        </w:tc>
        <w:tc>
          <w:tcPr>
            <w:tcW w:w="825" w:type="pct"/>
            <w:shd w:val="clear" w:color="auto" w:fill="auto"/>
            <w:noWrap/>
          </w:tcPr>
          <w:p w14:paraId="3A2DCC46"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3,231,353</w:t>
            </w:r>
          </w:p>
        </w:tc>
        <w:tc>
          <w:tcPr>
            <w:tcW w:w="825" w:type="pct"/>
            <w:shd w:val="clear" w:color="auto" w:fill="auto"/>
            <w:noWrap/>
          </w:tcPr>
          <w:p w14:paraId="0A02669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4,050,429</w:t>
            </w:r>
          </w:p>
        </w:tc>
        <w:tc>
          <w:tcPr>
            <w:tcW w:w="649" w:type="pct"/>
            <w:shd w:val="clear" w:color="auto" w:fill="auto"/>
            <w:noWrap/>
          </w:tcPr>
          <w:p w14:paraId="19272599"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4,394,277</w:t>
            </w:r>
          </w:p>
        </w:tc>
      </w:tr>
      <w:tr w:rsidR="009C236C" w:rsidRPr="00DA0EE6" w14:paraId="0918DEA8" w14:textId="77777777" w:rsidTr="009C236C">
        <w:trPr>
          <w:trHeight w:val="280"/>
        </w:trPr>
        <w:tc>
          <w:tcPr>
            <w:tcW w:w="867" w:type="pct"/>
            <w:shd w:val="clear" w:color="auto" w:fill="auto"/>
            <w:noWrap/>
            <w:vAlign w:val="bottom"/>
            <w:hideMark/>
          </w:tcPr>
          <w:p w14:paraId="02C571AF"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SB</w:t>
            </w:r>
            <w:r w:rsidRPr="00DA0EE6">
              <w:rPr>
                <w:rFonts w:cstheme="minorHAnsi"/>
                <w:color w:val="000000"/>
                <w:vertAlign w:val="subscript"/>
                <w:lang w:eastAsia="en-AU"/>
              </w:rPr>
              <w:t>MSY</w:t>
            </w:r>
          </w:p>
        </w:tc>
        <w:tc>
          <w:tcPr>
            <w:tcW w:w="588" w:type="pct"/>
            <w:shd w:val="clear" w:color="auto" w:fill="auto"/>
            <w:noWrap/>
          </w:tcPr>
          <w:p w14:paraId="6BA6FFAB"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860,326</w:t>
            </w:r>
          </w:p>
        </w:tc>
        <w:tc>
          <w:tcPr>
            <w:tcW w:w="617" w:type="pct"/>
            <w:shd w:val="clear" w:color="auto" w:fill="auto"/>
            <w:noWrap/>
          </w:tcPr>
          <w:p w14:paraId="00AB2CB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858,700</w:t>
            </w:r>
          </w:p>
        </w:tc>
        <w:tc>
          <w:tcPr>
            <w:tcW w:w="630" w:type="pct"/>
            <w:shd w:val="clear" w:color="auto" w:fill="auto"/>
            <w:noWrap/>
          </w:tcPr>
          <w:p w14:paraId="41DE96E2"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349,100</w:t>
            </w:r>
          </w:p>
        </w:tc>
        <w:tc>
          <w:tcPr>
            <w:tcW w:w="825" w:type="pct"/>
            <w:shd w:val="clear" w:color="auto" w:fill="auto"/>
            <w:noWrap/>
          </w:tcPr>
          <w:p w14:paraId="134F3D5D"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590,090</w:t>
            </w:r>
          </w:p>
        </w:tc>
        <w:tc>
          <w:tcPr>
            <w:tcW w:w="825" w:type="pct"/>
            <w:shd w:val="clear" w:color="auto" w:fill="auto"/>
            <w:noWrap/>
          </w:tcPr>
          <w:p w14:paraId="61F1CEE2"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1,114,400</w:t>
            </w:r>
          </w:p>
        </w:tc>
        <w:tc>
          <w:tcPr>
            <w:tcW w:w="649" w:type="pct"/>
            <w:shd w:val="clear" w:color="auto" w:fill="auto"/>
            <w:noWrap/>
          </w:tcPr>
          <w:p w14:paraId="149A937D"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1,322,000</w:t>
            </w:r>
          </w:p>
        </w:tc>
      </w:tr>
      <w:tr w:rsidR="009C236C" w:rsidRPr="00DA0EE6" w14:paraId="1680D689" w14:textId="77777777" w:rsidTr="009C236C">
        <w:trPr>
          <w:trHeight w:val="280"/>
        </w:trPr>
        <w:tc>
          <w:tcPr>
            <w:tcW w:w="867" w:type="pct"/>
            <w:shd w:val="clear" w:color="auto" w:fill="auto"/>
            <w:noWrap/>
            <w:vAlign w:val="bottom"/>
            <w:hideMark/>
          </w:tcPr>
          <w:p w14:paraId="1A228802"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SB</w:t>
            </w:r>
            <w:r w:rsidRPr="00DA0EE6">
              <w:rPr>
                <w:rFonts w:cstheme="minorHAnsi"/>
                <w:color w:val="000000"/>
                <w:vertAlign w:val="subscript"/>
                <w:lang w:eastAsia="en-AU"/>
              </w:rPr>
              <w:t>MSY</w:t>
            </w:r>
            <w:r w:rsidRPr="00DA0EE6">
              <w:rPr>
                <w:rFonts w:cstheme="minorHAnsi"/>
                <w:color w:val="000000"/>
                <w:lang w:eastAsia="en-AU"/>
              </w:rPr>
              <w:t>/SB</w:t>
            </w:r>
            <w:r w:rsidRPr="00DA0EE6">
              <w:rPr>
                <w:rFonts w:cstheme="minorHAnsi"/>
                <w:color w:val="000000"/>
                <w:vertAlign w:val="subscript"/>
                <w:lang w:eastAsia="en-AU"/>
              </w:rPr>
              <w:t>F=0</w:t>
            </w:r>
          </w:p>
        </w:tc>
        <w:tc>
          <w:tcPr>
            <w:tcW w:w="588" w:type="pct"/>
            <w:shd w:val="clear" w:color="auto" w:fill="auto"/>
            <w:noWrap/>
          </w:tcPr>
          <w:p w14:paraId="39C87850"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0.23</w:t>
            </w:r>
          </w:p>
        </w:tc>
        <w:tc>
          <w:tcPr>
            <w:tcW w:w="617" w:type="pct"/>
            <w:shd w:val="clear" w:color="auto" w:fill="auto"/>
            <w:noWrap/>
          </w:tcPr>
          <w:p w14:paraId="5ABC68C2"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0.24</w:t>
            </w:r>
          </w:p>
        </w:tc>
        <w:tc>
          <w:tcPr>
            <w:tcW w:w="630" w:type="pct"/>
            <w:shd w:val="clear" w:color="auto" w:fill="auto"/>
            <w:noWrap/>
          </w:tcPr>
          <w:p w14:paraId="090BB033"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0.12</w:t>
            </w:r>
          </w:p>
        </w:tc>
        <w:tc>
          <w:tcPr>
            <w:tcW w:w="825" w:type="pct"/>
            <w:shd w:val="clear" w:color="auto" w:fill="auto"/>
            <w:noWrap/>
          </w:tcPr>
          <w:p w14:paraId="20734036"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0.18</w:t>
            </w:r>
          </w:p>
        </w:tc>
        <w:tc>
          <w:tcPr>
            <w:tcW w:w="825" w:type="pct"/>
            <w:shd w:val="clear" w:color="auto" w:fill="auto"/>
            <w:noWrap/>
          </w:tcPr>
          <w:p w14:paraId="00732D7D"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0.28</w:t>
            </w:r>
          </w:p>
        </w:tc>
        <w:tc>
          <w:tcPr>
            <w:tcW w:w="649" w:type="pct"/>
            <w:shd w:val="clear" w:color="auto" w:fill="auto"/>
            <w:noWrap/>
          </w:tcPr>
          <w:p w14:paraId="5DA4CE0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0.30</w:t>
            </w:r>
          </w:p>
        </w:tc>
      </w:tr>
      <w:tr w:rsidR="009C236C" w:rsidRPr="00DA0EE6" w14:paraId="23098EE3" w14:textId="77777777" w:rsidTr="009C236C">
        <w:trPr>
          <w:trHeight w:val="280"/>
        </w:trPr>
        <w:tc>
          <w:tcPr>
            <w:tcW w:w="867" w:type="pct"/>
            <w:shd w:val="clear" w:color="auto" w:fill="auto"/>
            <w:noWrap/>
            <w:vAlign w:val="bottom"/>
            <w:hideMark/>
          </w:tcPr>
          <w:p w14:paraId="67B30B9A"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 xml:space="preserve">SB </w:t>
            </w:r>
            <w:r w:rsidRPr="00DA0EE6">
              <w:rPr>
                <w:rFonts w:cstheme="minorHAnsi"/>
                <w:color w:val="000000"/>
                <w:vertAlign w:val="subscript"/>
                <w:lang w:eastAsia="en-AU"/>
              </w:rPr>
              <w:t>latest</w:t>
            </w:r>
            <w:r w:rsidRPr="00DA0EE6">
              <w:rPr>
                <w:rFonts w:cstheme="minorHAnsi"/>
                <w:color w:val="000000"/>
                <w:lang w:eastAsia="en-AU"/>
              </w:rPr>
              <w:t>/SB</w:t>
            </w:r>
            <w:r w:rsidRPr="00DA0EE6">
              <w:rPr>
                <w:rFonts w:cstheme="minorHAnsi"/>
                <w:color w:val="000000"/>
                <w:vertAlign w:val="subscript"/>
                <w:lang w:eastAsia="en-AU"/>
              </w:rPr>
              <w:t>F=0</w:t>
            </w:r>
          </w:p>
        </w:tc>
        <w:tc>
          <w:tcPr>
            <w:tcW w:w="588" w:type="pct"/>
            <w:shd w:val="clear" w:color="auto" w:fill="auto"/>
            <w:noWrap/>
          </w:tcPr>
          <w:p w14:paraId="5AD0F7DF"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0.54</w:t>
            </w:r>
          </w:p>
        </w:tc>
        <w:tc>
          <w:tcPr>
            <w:tcW w:w="617" w:type="pct"/>
            <w:shd w:val="clear" w:color="auto" w:fill="auto"/>
            <w:noWrap/>
          </w:tcPr>
          <w:p w14:paraId="1DC2198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0.54</w:t>
            </w:r>
          </w:p>
        </w:tc>
        <w:tc>
          <w:tcPr>
            <w:tcW w:w="630" w:type="pct"/>
            <w:shd w:val="clear" w:color="auto" w:fill="auto"/>
            <w:noWrap/>
          </w:tcPr>
          <w:p w14:paraId="3A5B1382"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0.40</w:t>
            </w:r>
          </w:p>
        </w:tc>
        <w:tc>
          <w:tcPr>
            <w:tcW w:w="825" w:type="pct"/>
            <w:shd w:val="clear" w:color="auto" w:fill="auto"/>
            <w:noWrap/>
          </w:tcPr>
          <w:p w14:paraId="53084189"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0.47</w:t>
            </w:r>
          </w:p>
        </w:tc>
        <w:tc>
          <w:tcPr>
            <w:tcW w:w="825" w:type="pct"/>
            <w:shd w:val="clear" w:color="auto" w:fill="auto"/>
            <w:noWrap/>
          </w:tcPr>
          <w:p w14:paraId="7EC7006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0.60</w:t>
            </w:r>
          </w:p>
        </w:tc>
        <w:tc>
          <w:tcPr>
            <w:tcW w:w="649" w:type="pct"/>
            <w:shd w:val="clear" w:color="auto" w:fill="auto"/>
            <w:noWrap/>
          </w:tcPr>
          <w:p w14:paraId="3367753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0.66</w:t>
            </w:r>
          </w:p>
        </w:tc>
      </w:tr>
      <w:tr w:rsidR="009C236C" w:rsidRPr="00DA0EE6" w14:paraId="4E19F090" w14:textId="77777777" w:rsidTr="009C236C">
        <w:trPr>
          <w:trHeight w:val="280"/>
        </w:trPr>
        <w:tc>
          <w:tcPr>
            <w:tcW w:w="867" w:type="pct"/>
            <w:shd w:val="clear" w:color="auto" w:fill="auto"/>
            <w:noWrap/>
            <w:vAlign w:val="bottom"/>
            <w:hideMark/>
          </w:tcPr>
          <w:p w14:paraId="40BB5941"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 xml:space="preserve">SB </w:t>
            </w:r>
            <w:r w:rsidRPr="00DA0EE6">
              <w:rPr>
                <w:rFonts w:cstheme="minorHAnsi"/>
                <w:color w:val="000000"/>
                <w:vertAlign w:val="subscript"/>
                <w:lang w:eastAsia="en-AU"/>
              </w:rPr>
              <w:t>latest</w:t>
            </w:r>
            <w:r w:rsidRPr="00DA0EE6">
              <w:rPr>
                <w:rFonts w:cstheme="minorHAnsi"/>
                <w:color w:val="000000"/>
                <w:lang w:eastAsia="en-AU"/>
              </w:rPr>
              <w:t>/SB</w:t>
            </w:r>
            <w:r w:rsidRPr="00DA0EE6">
              <w:rPr>
                <w:rFonts w:cstheme="minorHAnsi"/>
                <w:color w:val="000000"/>
                <w:vertAlign w:val="subscript"/>
                <w:lang w:eastAsia="en-AU"/>
              </w:rPr>
              <w:t>MSY</w:t>
            </w:r>
          </w:p>
        </w:tc>
        <w:tc>
          <w:tcPr>
            <w:tcW w:w="588" w:type="pct"/>
            <w:shd w:val="clear" w:color="auto" w:fill="auto"/>
            <w:noWrap/>
          </w:tcPr>
          <w:p w14:paraId="6E5BF4B1"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2.43</w:t>
            </w:r>
          </w:p>
        </w:tc>
        <w:tc>
          <w:tcPr>
            <w:tcW w:w="617" w:type="pct"/>
            <w:shd w:val="clear" w:color="auto" w:fill="auto"/>
            <w:noWrap/>
          </w:tcPr>
          <w:p w14:paraId="58C72196"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2.28</w:t>
            </w:r>
          </w:p>
        </w:tc>
        <w:tc>
          <w:tcPr>
            <w:tcW w:w="630" w:type="pct"/>
            <w:shd w:val="clear" w:color="auto" w:fill="auto"/>
            <w:noWrap/>
          </w:tcPr>
          <w:p w14:paraId="6A6057E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1.47</w:t>
            </w:r>
          </w:p>
        </w:tc>
        <w:tc>
          <w:tcPr>
            <w:tcW w:w="825" w:type="pct"/>
            <w:shd w:val="clear" w:color="auto" w:fill="auto"/>
            <w:noWrap/>
          </w:tcPr>
          <w:p w14:paraId="0D19F02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1.67</w:t>
            </w:r>
          </w:p>
        </w:tc>
        <w:tc>
          <w:tcPr>
            <w:tcW w:w="825" w:type="pct"/>
            <w:shd w:val="clear" w:color="auto" w:fill="auto"/>
            <w:noWrap/>
          </w:tcPr>
          <w:p w14:paraId="371F8FF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3.29</w:t>
            </w:r>
          </w:p>
        </w:tc>
        <w:tc>
          <w:tcPr>
            <w:tcW w:w="649" w:type="pct"/>
            <w:shd w:val="clear" w:color="auto" w:fill="auto"/>
            <w:noWrap/>
          </w:tcPr>
          <w:p w14:paraId="50E3CC1A"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4.89</w:t>
            </w:r>
          </w:p>
        </w:tc>
      </w:tr>
      <w:tr w:rsidR="009C236C" w:rsidRPr="00DA0EE6" w14:paraId="77C333EA" w14:textId="77777777" w:rsidTr="009C236C">
        <w:trPr>
          <w:trHeight w:val="280"/>
        </w:trPr>
        <w:tc>
          <w:tcPr>
            <w:tcW w:w="867" w:type="pct"/>
            <w:shd w:val="clear" w:color="auto" w:fill="auto"/>
            <w:noWrap/>
            <w:vAlign w:val="bottom"/>
            <w:hideMark/>
          </w:tcPr>
          <w:p w14:paraId="542EAC76"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 xml:space="preserve">SB </w:t>
            </w:r>
            <w:r w:rsidRPr="00DA0EE6">
              <w:rPr>
                <w:rFonts w:cstheme="minorHAnsi"/>
                <w:color w:val="000000"/>
                <w:vertAlign w:val="subscript"/>
                <w:lang w:eastAsia="en-AU"/>
              </w:rPr>
              <w:t>recent</w:t>
            </w:r>
            <w:r w:rsidRPr="00DA0EE6">
              <w:rPr>
                <w:rFonts w:cstheme="minorHAnsi"/>
                <w:color w:val="000000"/>
                <w:lang w:eastAsia="en-AU"/>
              </w:rPr>
              <w:t>/SB</w:t>
            </w:r>
            <w:r w:rsidRPr="00DA0EE6">
              <w:rPr>
                <w:rFonts w:cstheme="minorHAnsi"/>
                <w:color w:val="000000"/>
                <w:vertAlign w:val="subscript"/>
                <w:lang w:eastAsia="en-AU"/>
              </w:rPr>
              <w:t>F=0</w:t>
            </w:r>
          </w:p>
        </w:tc>
        <w:tc>
          <w:tcPr>
            <w:tcW w:w="588" w:type="pct"/>
            <w:shd w:val="clear" w:color="auto" w:fill="auto"/>
            <w:noWrap/>
          </w:tcPr>
          <w:p w14:paraId="1D9B172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0.58</w:t>
            </w:r>
          </w:p>
        </w:tc>
        <w:tc>
          <w:tcPr>
            <w:tcW w:w="617" w:type="pct"/>
            <w:shd w:val="clear" w:color="auto" w:fill="auto"/>
            <w:noWrap/>
          </w:tcPr>
          <w:p w14:paraId="61D3859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0.58</w:t>
            </w:r>
          </w:p>
        </w:tc>
        <w:tc>
          <w:tcPr>
            <w:tcW w:w="630" w:type="pct"/>
            <w:shd w:val="clear" w:color="auto" w:fill="auto"/>
            <w:noWrap/>
          </w:tcPr>
          <w:p w14:paraId="0AB9A118"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0.42</w:t>
            </w:r>
          </w:p>
        </w:tc>
        <w:tc>
          <w:tcPr>
            <w:tcW w:w="825" w:type="pct"/>
            <w:shd w:val="clear" w:color="auto" w:fill="auto"/>
            <w:noWrap/>
          </w:tcPr>
          <w:p w14:paraId="0E65CD05"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0.51</w:t>
            </w:r>
          </w:p>
        </w:tc>
        <w:tc>
          <w:tcPr>
            <w:tcW w:w="825" w:type="pct"/>
            <w:shd w:val="clear" w:color="auto" w:fill="auto"/>
            <w:noWrap/>
          </w:tcPr>
          <w:p w14:paraId="7276EE3D"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0.64</w:t>
            </w:r>
          </w:p>
        </w:tc>
        <w:tc>
          <w:tcPr>
            <w:tcW w:w="649" w:type="pct"/>
            <w:shd w:val="clear" w:color="auto" w:fill="auto"/>
            <w:noWrap/>
          </w:tcPr>
          <w:p w14:paraId="579E878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0.68</w:t>
            </w:r>
          </w:p>
        </w:tc>
      </w:tr>
      <w:tr w:rsidR="009C236C" w:rsidRPr="00DA0EE6" w14:paraId="0C9DF112" w14:textId="77777777" w:rsidTr="009C236C">
        <w:trPr>
          <w:trHeight w:val="280"/>
        </w:trPr>
        <w:tc>
          <w:tcPr>
            <w:tcW w:w="867" w:type="pct"/>
            <w:shd w:val="clear" w:color="auto" w:fill="auto"/>
            <w:noWrap/>
            <w:vAlign w:val="bottom"/>
            <w:hideMark/>
          </w:tcPr>
          <w:p w14:paraId="16AB9657" w14:textId="77777777" w:rsidR="009C236C" w:rsidRPr="00DA0EE6" w:rsidRDefault="009C236C" w:rsidP="009C236C">
            <w:pPr>
              <w:adjustRightInd w:val="0"/>
              <w:snapToGrid w:val="0"/>
              <w:spacing w:after="0" w:line="240" w:lineRule="auto"/>
              <w:rPr>
                <w:rFonts w:cstheme="minorHAnsi"/>
                <w:color w:val="000000"/>
                <w:lang w:eastAsia="en-AU"/>
              </w:rPr>
            </w:pPr>
            <w:r w:rsidRPr="00DA0EE6">
              <w:rPr>
                <w:rFonts w:cstheme="minorHAnsi"/>
                <w:color w:val="000000"/>
                <w:lang w:eastAsia="en-AU"/>
              </w:rPr>
              <w:t xml:space="preserve">SB </w:t>
            </w:r>
            <w:r w:rsidRPr="00DA0EE6">
              <w:rPr>
                <w:rFonts w:cstheme="minorHAnsi"/>
                <w:color w:val="000000"/>
                <w:vertAlign w:val="subscript"/>
                <w:lang w:eastAsia="en-AU"/>
              </w:rPr>
              <w:t>recent</w:t>
            </w:r>
            <w:r w:rsidRPr="00DA0EE6">
              <w:rPr>
                <w:rFonts w:cstheme="minorHAnsi"/>
                <w:color w:val="000000"/>
                <w:lang w:eastAsia="en-AU"/>
              </w:rPr>
              <w:t>/SB</w:t>
            </w:r>
            <w:r w:rsidRPr="00DA0EE6">
              <w:rPr>
                <w:rFonts w:cstheme="minorHAnsi"/>
                <w:color w:val="000000"/>
                <w:vertAlign w:val="subscript"/>
                <w:lang w:eastAsia="en-AU"/>
              </w:rPr>
              <w:t>MSY</w:t>
            </w:r>
          </w:p>
        </w:tc>
        <w:tc>
          <w:tcPr>
            <w:tcW w:w="588" w:type="pct"/>
            <w:shd w:val="clear" w:color="auto" w:fill="auto"/>
            <w:noWrap/>
          </w:tcPr>
          <w:p w14:paraId="4FB344AC"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2.59</w:t>
            </w:r>
          </w:p>
        </w:tc>
        <w:tc>
          <w:tcPr>
            <w:tcW w:w="617" w:type="pct"/>
            <w:shd w:val="clear" w:color="auto" w:fill="auto"/>
            <w:noWrap/>
          </w:tcPr>
          <w:p w14:paraId="2B5E55C0"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2.43</w:t>
            </w:r>
          </w:p>
        </w:tc>
        <w:tc>
          <w:tcPr>
            <w:tcW w:w="630" w:type="pct"/>
            <w:shd w:val="clear" w:color="auto" w:fill="auto"/>
            <w:noWrap/>
          </w:tcPr>
          <w:p w14:paraId="5D0C635E"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1.54</w:t>
            </w:r>
          </w:p>
        </w:tc>
        <w:tc>
          <w:tcPr>
            <w:tcW w:w="825" w:type="pct"/>
            <w:shd w:val="clear" w:color="auto" w:fill="auto"/>
            <w:noWrap/>
          </w:tcPr>
          <w:p w14:paraId="3F4CE4F7"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1.77</w:t>
            </w:r>
          </w:p>
        </w:tc>
        <w:tc>
          <w:tcPr>
            <w:tcW w:w="825" w:type="pct"/>
            <w:shd w:val="clear" w:color="auto" w:fill="auto"/>
            <w:noWrap/>
          </w:tcPr>
          <w:p w14:paraId="03F8AD14"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3.57</w:t>
            </w:r>
          </w:p>
        </w:tc>
        <w:tc>
          <w:tcPr>
            <w:tcW w:w="649" w:type="pct"/>
            <w:shd w:val="clear" w:color="auto" w:fill="auto"/>
            <w:noWrap/>
          </w:tcPr>
          <w:p w14:paraId="76148778" w14:textId="77777777" w:rsidR="009C236C" w:rsidRPr="00DA0EE6" w:rsidRDefault="009C236C" w:rsidP="009C236C">
            <w:pPr>
              <w:adjustRightInd w:val="0"/>
              <w:snapToGrid w:val="0"/>
              <w:spacing w:after="0" w:line="240" w:lineRule="auto"/>
              <w:jc w:val="center"/>
              <w:rPr>
                <w:rFonts w:cstheme="minorHAnsi"/>
              </w:rPr>
            </w:pPr>
            <w:r w:rsidRPr="00DA0EE6">
              <w:rPr>
                <w:rFonts w:cstheme="minorHAnsi"/>
              </w:rPr>
              <w:t>5.27</w:t>
            </w:r>
          </w:p>
        </w:tc>
      </w:tr>
    </w:tbl>
    <w:p w14:paraId="2235F75D" w14:textId="77777777" w:rsidR="009C236C" w:rsidRPr="00DA0EE6" w:rsidRDefault="009C236C" w:rsidP="009C236C">
      <w:pPr>
        <w:adjustRightInd w:val="0"/>
        <w:snapToGrid w:val="0"/>
        <w:spacing w:after="0" w:line="240" w:lineRule="auto"/>
        <w:rPr>
          <w:rFonts w:cstheme="minorHAnsi"/>
        </w:rPr>
      </w:pPr>
    </w:p>
    <w:p w14:paraId="0B5F6AA1" w14:textId="77777777" w:rsidR="009C236C" w:rsidRPr="00DA0EE6" w:rsidRDefault="009C236C" w:rsidP="009C236C">
      <w:pPr>
        <w:adjustRightInd w:val="0"/>
        <w:snapToGrid w:val="0"/>
        <w:spacing w:after="0" w:line="240" w:lineRule="auto"/>
        <w:jc w:val="center"/>
        <w:rPr>
          <w:rFonts w:cstheme="minorHAnsi"/>
          <w:b/>
        </w:rPr>
      </w:pPr>
      <w:r w:rsidRPr="00DA0EE6">
        <w:rPr>
          <w:rFonts w:cstheme="minorHAnsi"/>
          <w:b/>
          <w:noProof/>
        </w:rPr>
        <w:drawing>
          <wp:inline distT="0" distB="0" distL="0" distR="0" wp14:anchorId="22DA07ED" wp14:editId="7EA6BADE">
            <wp:extent cx="3737113" cy="3481729"/>
            <wp:effectExtent l="0" t="0" r="0" b="444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assessment_boundari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44402" cy="3488520"/>
                    </a:xfrm>
                    <a:prstGeom prst="rect">
                      <a:avLst/>
                    </a:prstGeom>
                  </pic:spPr>
                </pic:pic>
              </a:graphicData>
            </a:graphic>
          </wp:inline>
        </w:drawing>
      </w:r>
    </w:p>
    <w:p w14:paraId="668A4CAC" w14:textId="77777777" w:rsidR="009C236C" w:rsidRPr="0024202B" w:rsidRDefault="009C236C" w:rsidP="009C236C">
      <w:pPr>
        <w:adjustRightInd w:val="0"/>
        <w:snapToGrid w:val="0"/>
        <w:spacing w:after="0" w:line="240" w:lineRule="auto"/>
        <w:rPr>
          <w:rStyle w:val="fontstyle01"/>
          <w:rFonts w:asciiTheme="minorHAnsi" w:hAnsiTheme="minorHAnsi" w:cstheme="minorHAnsi"/>
          <w:b/>
          <w:bCs/>
          <w:color w:val="auto"/>
        </w:rPr>
      </w:pPr>
      <w:r w:rsidRPr="00DA0EE6">
        <w:rPr>
          <w:rFonts w:cstheme="minorHAnsi"/>
          <w:b/>
        </w:rPr>
        <w:t xml:space="preserve">Figure YFT-1. </w:t>
      </w:r>
      <w:r w:rsidRPr="0024202B">
        <w:rPr>
          <w:rStyle w:val="fontstyle01"/>
          <w:rFonts w:asciiTheme="minorHAnsi" w:hAnsiTheme="minorHAnsi" w:cstheme="minorHAnsi"/>
          <w:color w:val="auto"/>
        </w:rPr>
        <w:t>The geographical area covered by the stock assessment and the boundaries for the 9 regions when using the “10N regional structure”.</w:t>
      </w:r>
    </w:p>
    <w:p w14:paraId="62AC4670" w14:textId="77777777" w:rsidR="009C236C" w:rsidRPr="00DA0EE6" w:rsidRDefault="009C236C" w:rsidP="009C236C">
      <w:pPr>
        <w:adjustRightInd w:val="0"/>
        <w:snapToGrid w:val="0"/>
        <w:spacing w:after="0" w:line="240" w:lineRule="auto"/>
        <w:rPr>
          <w:rStyle w:val="fontstyle01"/>
          <w:rFonts w:asciiTheme="minorHAnsi" w:hAnsiTheme="minorHAnsi" w:cstheme="minorHAnsi"/>
          <w:b/>
          <w:bCs/>
        </w:rPr>
      </w:pPr>
    </w:p>
    <w:p w14:paraId="06171C5E" w14:textId="77777777" w:rsidR="009C236C" w:rsidRPr="00DA0EE6" w:rsidRDefault="009C236C" w:rsidP="009C236C">
      <w:pPr>
        <w:adjustRightInd w:val="0"/>
        <w:snapToGrid w:val="0"/>
        <w:jc w:val="center"/>
        <w:rPr>
          <w:rFonts w:cstheme="minorHAnsi"/>
        </w:rPr>
      </w:pPr>
      <w:r w:rsidRPr="00DA0EE6">
        <w:rPr>
          <w:rFonts w:cstheme="minorHAnsi"/>
          <w:noProof/>
        </w:rPr>
        <w:lastRenderedPageBreak/>
        <w:drawing>
          <wp:inline distT="0" distB="0" distL="0" distR="0" wp14:anchorId="345E8E38" wp14:editId="2833E215">
            <wp:extent cx="4573352"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series_catch_full.png"/>
                    <pic:cNvPicPr/>
                  </pic:nvPicPr>
                  <pic:blipFill>
                    <a:blip r:embed="rId24">
                      <a:extLst>
                        <a:ext uri="{28A0092B-C50C-407E-A947-70E740481C1C}">
                          <a14:useLocalDpi xmlns:a14="http://schemas.microsoft.com/office/drawing/2010/main" val="0"/>
                        </a:ext>
                      </a:extLst>
                    </a:blip>
                    <a:stretch>
                      <a:fillRect/>
                    </a:stretch>
                  </pic:blipFill>
                  <pic:spPr>
                    <a:xfrm>
                      <a:off x="0" y="0"/>
                      <a:ext cx="4582611" cy="2748754"/>
                    </a:xfrm>
                    <a:prstGeom prst="rect">
                      <a:avLst/>
                    </a:prstGeom>
                  </pic:spPr>
                </pic:pic>
              </a:graphicData>
            </a:graphic>
          </wp:inline>
        </w:drawing>
      </w:r>
    </w:p>
    <w:p w14:paraId="3FA80848" w14:textId="77777777" w:rsidR="009C236C" w:rsidRPr="0024202B" w:rsidRDefault="009C236C" w:rsidP="009C236C">
      <w:pPr>
        <w:adjustRightInd w:val="0"/>
        <w:snapToGrid w:val="0"/>
        <w:spacing w:after="0" w:line="240" w:lineRule="auto"/>
        <w:jc w:val="both"/>
        <w:rPr>
          <w:rStyle w:val="fontstyle01"/>
          <w:rFonts w:asciiTheme="minorHAnsi" w:hAnsiTheme="minorHAnsi" w:cstheme="minorHAnsi"/>
          <w:b/>
          <w:bCs/>
          <w:color w:val="auto"/>
        </w:rPr>
      </w:pPr>
      <w:r w:rsidRPr="00DA0EE6">
        <w:rPr>
          <w:rFonts w:cstheme="minorHAnsi"/>
          <w:b/>
        </w:rPr>
        <w:t>Figure YFT-2.</w:t>
      </w:r>
      <w:r w:rsidRPr="0024202B">
        <w:rPr>
          <w:rStyle w:val="fontstyle01"/>
          <w:rFonts w:asciiTheme="minorHAnsi" w:hAnsiTheme="minorHAnsi" w:cstheme="minorHAnsi"/>
          <w:color w:val="auto"/>
        </w:rPr>
        <w:t xml:space="preserve">Time series of total annual catch (1000s mt) by fishing gear over the full assessment region and time period. The different </w:t>
      </w:r>
      <w:proofErr w:type="spellStart"/>
      <w:r w:rsidRPr="0024202B">
        <w:rPr>
          <w:rStyle w:val="fontstyle01"/>
          <w:rFonts w:asciiTheme="minorHAnsi" w:hAnsiTheme="minorHAnsi" w:cstheme="minorHAnsi"/>
          <w:color w:val="auto"/>
        </w:rPr>
        <w:t>colours</w:t>
      </w:r>
      <w:proofErr w:type="spellEnd"/>
      <w:r w:rsidRPr="0024202B">
        <w:rPr>
          <w:rStyle w:val="fontstyle01"/>
          <w:rFonts w:asciiTheme="minorHAnsi" w:hAnsiTheme="minorHAnsi" w:cstheme="minorHAnsi"/>
          <w:color w:val="auto"/>
        </w:rPr>
        <w:t xml:space="preserve"> denote longline (green), pole-and-line (red), purse seine unclassified (blue), purse seine-associated (dark blue), purse seine-unassociated (light blue), miscellaneous (yellow).</w:t>
      </w:r>
    </w:p>
    <w:p w14:paraId="75E88645" w14:textId="77777777" w:rsidR="009C236C" w:rsidRPr="00DA0EE6" w:rsidRDefault="009C236C" w:rsidP="009C236C">
      <w:pPr>
        <w:adjustRightInd w:val="0"/>
        <w:snapToGrid w:val="0"/>
        <w:spacing w:after="0" w:line="240" w:lineRule="auto"/>
        <w:rPr>
          <w:rFonts w:cstheme="minorHAnsi"/>
        </w:rPr>
      </w:pPr>
    </w:p>
    <w:p w14:paraId="74740A36" w14:textId="77777777" w:rsidR="009C236C" w:rsidRPr="00DA0EE6" w:rsidRDefault="009C236C" w:rsidP="00194EBD">
      <w:pPr>
        <w:adjustRightInd w:val="0"/>
        <w:snapToGrid w:val="0"/>
        <w:spacing w:after="0" w:line="240" w:lineRule="auto"/>
        <w:jc w:val="center"/>
        <w:rPr>
          <w:rFonts w:cstheme="minorHAnsi"/>
        </w:rPr>
      </w:pPr>
      <w:r w:rsidRPr="00DA0EE6">
        <w:rPr>
          <w:rFonts w:cstheme="minorHAnsi"/>
          <w:noProof/>
        </w:rPr>
        <w:drawing>
          <wp:inline distT="0" distB="0" distL="0" distR="0" wp14:anchorId="74782A42" wp14:editId="680A5EE9">
            <wp:extent cx="4547937" cy="3667171"/>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25">
                      <a:extLst>
                        <a:ext uri="{28A0092B-C50C-407E-A947-70E740481C1C}">
                          <a14:useLocalDpi xmlns:a14="http://schemas.microsoft.com/office/drawing/2010/main" val="0"/>
                        </a:ext>
                      </a:extLst>
                    </a:blip>
                    <a:stretch>
                      <a:fillRect/>
                    </a:stretch>
                  </pic:blipFill>
                  <pic:spPr>
                    <a:xfrm>
                      <a:off x="0" y="0"/>
                      <a:ext cx="4555628" cy="3673373"/>
                    </a:xfrm>
                    <a:prstGeom prst="rect">
                      <a:avLst/>
                    </a:prstGeom>
                  </pic:spPr>
                </pic:pic>
              </a:graphicData>
            </a:graphic>
          </wp:inline>
        </w:drawing>
      </w:r>
    </w:p>
    <w:p w14:paraId="22B8B148" w14:textId="77777777" w:rsidR="009C236C" w:rsidRPr="0024202B" w:rsidRDefault="009C236C" w:rsidP="009C236C">
      <w:pPr>
        <w:adjustRightInd w:val="0"/>
        <w:snapToGrid w:val="0"/>
        <w:spacing w:after="0" w:line="240" w:lineRule="auto"/>
        <w:jc w:val="both"/>
        <w:rPr>
          <w:rStyle w:val="fontstyle01"/>
          <w:rFonts w:asciiTheme="minorHAnsi" w:hAnsiTheme="minorHAnsi" w:cstheme="minorHAnsi"/>
          <w:b/>
          <w:bCs/>
          <w:color w:val="auto"/>
        </w:rPr>
      </w:pPr>
      <w:r w:rsidRPr="00DA0EE6">
        <w:rPr>
          <w:rFonts w:cstheme="minorHAnsi"/>
          <w:b/>
        </w:rPr>
        <w:t xml:space="preserve">Figure YFT-3. </w:t>
      </w:r>
      <w:r w:rsidRPr="0024202B">
        <w:rPr>
          <w:rStyle w:val="fontstyle01"/>
          <w:rFonts w:asciiTheme="minorHAnsi" w:hAnsiTheme="minorHAnsi" w:cstheme="minorHAnsi"/>
          <w:color w:val="auto"/>
        </w:rPr>
        <w:t xml:space="preserve">Time series of total annual catch (1000s mt) by fishing gear and assessment region over the full assessment period. The different </w:t>
      </w:r>
      <w:proofErr w:type="spellStart"/>
      <w:r w:rsidRPr="0024202B">
        <w:rPr>
          <w:rStyle w:val="fontstyle01"/>
          <w:rFonts w:asciiTheme="minorHAnsi" w:hAnsiTheme="minorHAnsi" w:cstheme="minorHAnsi"/>
          <w:color w:val="auto"/>
        </w:rPr>
        <w:t>colours</w:t>
      </w:r>
      <w:proofErr w:type="spellEnd"/>
      <w:r w:rsidRPr="0024202B">
        <w:rPr>
          <w:rStyle w:val="fontstyle01"/>
          <w:rFonts w:asciiTheme="minorHAnsi" w:hAnsiTheme="minorHAnsi" w:cstheme="minorHAnsi"/>
          <w:color w:val="auto"/>
        </w:rPr>
        <w:t xml:space="preserve"> denote longline (green), pole-and-line (red), purse seine unclassified (blue), purse seine-associated (dark blue), purse seine-unassociated (light blue), miscellaneous (yellow).</w:t>
      </w:r>
    </w:p>
    <w:p w14:paraId="12A94075" w14:textId="77777777" w:rsidR="009C236C" w:rsidRPr="00DA0EE6" w:rsidRDefault="009C236C" w:rsidP="009C236C">
      <w:pPr>
        <w:pStyle w:val="ListParagraph"/>
        <w:adjustRightInd w:val="0"/>
        <w:snapToGrid w:val="0"/>
        <w:jc w:val="center"/>
        <w:rPr>
          <w:rFonts w:asciiTheme="minorHAnsi" w:hAnsiTheme="minorHAnsi" w:cstheme="minorHAnsi"/>
        </w:rPr>
      </w:pPr>
      <w:r w:rsidRPr="00DA0EE6">
        <w:rPr>
          <w:rFonts w:asciiTheme="minorHAnsi" w:hAnsiTheme="minorHAnsi" w:cstheme="minorHAnsi"/>
        </w:rPr>
        <w:lastRenderedPageBreak/>
        <w:t>(a) Recruitment</w:t>
      </w:r>
    </w:p>
    <w:p w14:paraId="021A7F0E" w14:textId="1CC3C15E" w:rsidR="009C236C" w:rsidRPr="00DA0EE6" w:rsidRDefault="009C236C" w:rsidP="009C236C">
      <w:pPr>
        <w:pStyle w:val="ListParagraph"/>
        <w:adjustRightInd w:val="0"/>
        <w:snapToGrid w:val="0"/>
        <w:jc w:val="center"/>
        <w:rPr>
          <w:rFonts w:asciiTheme="minorHAnsi" w:hAnsiTheme="minorHAnsi" w:cstheme="minorHAnsi"/>
        </w:rPr>
      </w:pPr>
      <w:r w:rsidRPr="00DA0EE6">
        <w:rPr>
          <w:rFonts w:asciiTheme="minorHAnsi" w:hAnsiTheme="minorHAnsi" w:cstheme="minorHAnsi"/>
          <w:noProof/>
        </w:rPr>
        <w:drawing>
          <wp:inline distT="0" distB="0" distL="0" distR="0" wp14:anchorId="548C876E" wp14:editId="2E34649F">
            <wp:extent cx="4430335" cy="2215167"/>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5855" cy="2232927"/>
                    </a:xfrm>
                    <a:prstGeom prst="rect">
                      <a:avLst/>
                    </a:prstGeom>
                  </pic:spPr>
                </pic:pic>
              </a:graphicData>
            </a:graphic>
          </wp:inline>
        </w:drawing>
      </w:r>
    </w:p>
    <w:p w14:paraId="50FEED4A" w14:textId="53B4444A" w:rsidR="00311CC0" w:rsidRPr="00DA0EE6" w:rsidRDefault="009C236C" w:rsidP="00311CC0">
      <w:pPr>
        <w:pStyle w:val="ListParagraph"/>
        <w:adjustRightInd w:val="0"/>
        <w:snapToGrid w:val="0"/>
        <w:jc w:val="center"/>
        <w:rPr>
          <w:rFonts w:asciiTheme="minorHAnsi" w:hAnsiTheme="minorHAnsi" w:cstheme="minorHAnsi"/>
        </w:rPr>
      </w:pPr>
      <w:r w:rsidRPr="00DA0EE6">
        <w:rPr>
          <w:rFonts w:asciiTheme="minorHAnsi" w:hAnsiTheme="minorHAnsi" w:cstheme="minorHAnsi"/>
        </w:rPr>
        <w:t>(b)</w:t>
      </w:r>
      <w:r w:rsidR="00311CC0" w:rsidRPr="00DA0EE6">
        <w:rPr>
          <w:rFonts w:asciiTheme="minorHAnsi" w:hAnsiTheme="minorHAnsi" w:cstheme="minorHAnsi"/>
        </w:rPr>
        <w:t xml:space="preserve"> Spawning Potential</w:t>
      </w:r>
    </w:p>
    <w:p w14:paraId="4D88F88D" w14:textId="0EC47BE8" w:rsidR="009C236C" w:rsidRPr="00DA0EE6" w:rsidRDefault="009C236C" w:rsidP="00311CC0">
      <w:pPr>
        <w:pStyle w:val="ListParagraph"/>
        <w:adjustRightInd w:val="0"/>
        <w:snapToGrid w:val="0"/>
        <w:jc w:val="center"/>
        <w:rPr>
          <w:rFonts w:asciiTheme="minorHAnsi" w:hAnsiTheme="minorHAnsi" w:cstheme="minorHAnsi"/>
        </w:rPr>
      </w:pPr>
      <w:r w:rsidRPr="00DA0EE6">
        <w:rPr>
          <w:rFonts w:asciiTheme="minorHAnsi" w:hAnsiTheme="minorHAnsi" w:cstheme="minorHAnsi"/>
          <w:noProof/>
        </w:rPr>
        <w:drawing>
          <wp:inline distT="0" distB="0" distL="0" distR="0" wp14:anchorId="2B05038D" wp14:editId="7A65FF40">
            <wp:extent cx="4507605" cy="225380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3752" cy="2261877"/>
                    </a:xfrm>
                    <a:prstGeom prst="rect">
                      <a:avLst/>
                    </a:prstGeom>
                  </pic:spPr>
                </pic:pic>
              </a:graphicData>
            </a:graphic>
          </wp:inline>
        </w:drawing>
      </w:r>
    </w:p>
    <w:p w14:paraId="0C351380" w14:textId="790D500A" w:rsidR="00311CC0" w:rsidRPr="00DA0EE6" w:rsidRDefault="009C236C" w:rsidP="009C236C">
      <w:pPr>
        <w:pStyle w:val="ListParagraph"/>
        <w:adjustRightInd w:val="0"/>
        <w:snapToGrid w:val="0"/>
        <w:jc w:val="center"/>
        <w:rPr>
          <w:rFonts w:asciiTheme="minorHAnsi" w:hAnsiTheme="minorHAnsi" w:cstheme="minorHAnsi"/>
        </w:rPr>
      </w:pPr>
      <w:r w:rsidRPr="00DA0EE6">
        <w:rPr>
          <w:rFonts w:asciiTheme="minorHAnsi" w:hAnsiTheme="minorHAnsi" w:cstheme="minorHAnsi"/>
        </w:rPr>
        <w:t xml:space="preserve">(c) </w:t>
      </w:r>
      <w:r w:rsidR="00311CC0" w:rsidRPr="00DA0EE6">
        <w:rPr>
          <w:rFonts w:asciiTheme="minorHAnsi" w:hAnsiTheme="minorHAnsi" w:cstheme="minorHAnsi"/>
        </w:rPr>
        <w:t>Total Biomass</w:t>
      </w:r>
    </w:p>
    <w:p w14:paraId="1AB42978" w14:textId="0B774135" w:rsidR="009C236C" w:rsidRPr="00DA0EE6" w:rsidRDefault="009C236C" w:rsidP="009C236C">
      <w:pPr>
        <w:pStyle w:val="ListParagraph"/>
        <w:adjustRightInd w:val="0"/>
        <w:snapToGrid w:val="0"/>
        <w:jc w:val="center"/>
        <w:rPr>
          <w:rFonts w:asciiTheme="minorHAnsi" w:hAnsiTheme="minorHAnsi" w:cstheme="minorHAnsi"/>
        </w:rPr>
      </w:pPr>
      <w:r w:rsidRPr="00DA0EE6">
        <w:rPr>
          <w:rFonts w:asciiTheme="minorHAnsi" w:hAnsiTheme="minorHAnsi" w:cstheme="minorHAnsi"/>
          <w:noProof/>
        </w:rPr>
        <w:drawing>
          <wp:inline distT="0" distB="0" distL="0" distR="0" wp14:anchorId="35FE41F2" wp14:editId="7634B8F4">
            <wp:extent cx="4507605" cy="2253803"/>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64982" cy="2282491"/>
                    </a:xfrm>
                    <a:prstGeom prst="rect">
                      <a:avLst/>
                    </a:prstGeom>
                  </pic:spPr>
                </pic:pic>
              </a:graphicData>
            </a:graphic>
          </wp:inline>
        </w:drawing>
      </w:r>
    </w:p>
    <w:p w14:paraId="0CA7AED3" w14:textId="77777777" w:rsidR="009C236C" w:rsidRPr="00DA0EE6" w:rsidRDefault="009C236C" w:rsidP="009C236C">
      <w:pPr>
        <w:pStyle w:val="ListParagraph"/>
        <w:adjustRightInd w:val="0"/>
        <w:snapToGrid w:val="0"/>
        <w:jc w:val="center"/>
        <w:rPr>
          <w:rFonts w:asciiTheme="minorHAnsi" w:hAnsiTheme="minorHAnsi" w:cstheme="minorHAnsi"/>
        </w:rPr>
      </w:pPr>
    </w:p>
    <w:p w14:paraId="17EA7A0B" w14:textId="77777777" w:rsidR="009C236C" w:rsidRPr="0024202B" w:rsidRDefault="009C236C" w:rsidP="009C236C">
      <w:pPr>
        <w:adjustRightInd w:val="0"/>
        <w:snapToGrid w:val="0"/>
        <w:spacing w:after="0" w:line="240" w:lineRule="auto"/>
        <w:jc w:val="both"/>
        <w:rPr>
          <w:rStyle w:val="fontstyle01"/>
          <w:rFonts w:asciiTheme="minorHAnsi" w:hAnsiTheme="minorHAnsi" w:cstheme="minorHAnsi"/>
          <w:b/>
          <w:bCs/>
          <w:color w:val="auto"/>
        </w:rPr>
      </w:pPr>
      <w:r w:rsidRPr="00DA0EE6">
        <w:rPr>
          <w:rFonts w:cstheme="minorHAnsi"/>
          <w:b/>
        </w:rPr>
        <w:t xml:space="preserve">Figure YFT-4. </w:t>
      </w:r>
      <w:r w:rsidRPr="0024202B">
        <w:rPr>
          <w:rStyle w:val="fontstyle01"/>
          <w:rFonts w:asciiTheme="minorHAnsi" w:hAnsiTheme="minorHAnsi" w:cstheme="minorHAnsi"/>
          <w:color w:val="auto"/>
        </w:rPr>
        <w:t>Estimated annual average, (a) recruitment (b) spawning potential (c) total biomass by model region for the diagnostic model, showing the relative sizes among regions.</w:t>
      </w:r>
    </w:p>
    <w:p w14:paraId="1958C3FA" w14:textId="77777777" w:rsidR="009C236C" w:rsidRPr="0024202B" w:rsidRDefault="009C236C" w:rsidP="009C236C">
      <w:pPr>
        <w:adjustRightInd w:val="0"/>
        <w:snapToGrid w:val="0"/>
        <w:spacing w:after="0" w:line="240" w:lineRule="auto"/>
        <w:rPr>
          <w:rFonts w:cstheme="minorHAnsi"/>
        </w:rPr>
      </w:pPr>
    </w:p>
    <w:p w14:paraId="7D630856" w14:textId="77777777" w:rsidR="009C236C" w:rsidRPr="00DA0EE6" w:rsidRDefault="009C236C" w:rsidP="00312C81">
      <w:pPr>
        <w:adjustRightInd w:val="0"/>
        <w:snapToGrid w:val="0"/>
        <w:spacing w:after="0" w:line="240" w:lineRule="auto"/>
        <w:rPr>
          <w:rFonts w:cstheme="minorHAnsi"/>
        </w:rPr>
      </w:pPr>
      <w:r w:rsidRPr="00DA0EE6">
        <w:rPr>
          <w:rFonts w:cstheme="minorHAnsi"/>
          <w:noProof/>
        </w:rPr>
        <w:lastRenderedPageBreak/>
        <w:drawing>
          <wp:inline distT="0" distB="0" distL="0" distR="0" wp14:anchorId="5FA852E3" wp14:editId="5780BE2F">
            <wp:extent cx="5731510" cy="320865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08655"/>
                    </a:xfrm>
                    <a:prstGeom prst="rect">
                      <a:avLst/>
                    </a:prstGeom>
                  </pic:spPr>
                </pic:pic>
              </a:graphicData>
            </a:graphic>
          </wp:inline>
        </w:drawing>
      </w:r>
    </w:p>
    <w:p w14:paraId="5B43C620" w14:textId="77777777" w:rsidR="009C236C" w:rsidRPr="00DA0EE6" w:rsidRDefault="009C236C" w:rsidP="00312C81">
      <w:pPr>
        <w:adjustRightInd w:val="0"/>
        <w:snapToGrid w:val="0"/>
        <w:spacing w:after="0" w:line="240" w:lineRule="auto"/>
        <w:jc w:val="both"/>
        <w:rPr>
          <w:rStyle w:val="fontstyle01"/>
          <w:rFonts w:asciiTheme="minorHAnsi" w:hAnsiTheme="minorHAnsi" w:cstheme="minorHAnsi"/>
          <w:b/>
          <w:bCs/>
        </w:rPr>
      </w:pPr>
      <w:r w:rsidRPr="00DA0EE6">
        <w:rPr>
          <w:rFonts w:cstheme="minorHAnsi"/>
          <w:b/>
        </w:rPr>
        <w:t xml:space="preserve">Figure YFT-5. </w:t>
      </w:r>
      <w:r w:rsidRPr="0024202B">
        <w:rPr>
          <w:rStyle w:val="fontstyle01"/>
          <w:rFonts w:asciiTheme="minorHAnsi" w:hAnsiTheme="minorHAnsi" w:cstheme="minorHAnsi"/>
          <w:color w:val="auto"/>
        </w:rPr>
        <w:t xml:space="preserve">The temporal trend in estimated spawning potential by model region for the </w:t>
      </w:r>
      <w:proofErr w:type="spellStart"/>
      <w:r w:rsidRPr="0024202B">
        <w:rPr>
          <w:rStyle w:val="fontstyle01"/>
          <w:rFonts w:asciiTheme="minorHAnsi" w:hAnsiTheme="minorHAnsi" w:cstheme="minorHAnsi"/>
          <w:color w:val="auto"/>
        </w:rPr>
        <w:t>diagnosticmodel</w:t>
      </w:r>
      <w:proofErr w:type="spellEnd"/>
      <w:r w:rsidRPr="0024202B">
        <w:rPr>
          <w:rStyle w:val="fontstyle01"/>
          <w:rFonts w:asciiTheme="minorHAnsi" w:hAnsiTheme="minorHAnsi" w:cstheme="minorHAnsi"/>
          <w:color w:val="auto"/>
        </w:rPr>
        <w:t>, where the blue shaded region for the overall spawning potential shows the estimated 95% confidence interval based on statistical uncertainty estimated for the diagnostic model. Note that the y-axis scale among panels are not consistent.</w:t>
      </w:r>
    </w:p>
    <w:p w14:paraId="52148F44" w14:textId="77777777" w:rsidR="009C236C" w:rsidRPr="00DA0EE6" w:rsidRDefault="009C236C" w:rsidP="00312C81">
      <w:pPr>
        <w:adjustRightInd w:val="0"/>
        <w:snapToGrid w:val="0"/>
        <w:spacing w:after="0" w:line="240" w:lineRule="auto"/>
        <w:rPr>
          <w:rFonts w:cstheme="minorHAnsi"/>
        </w:rPr>
      </w:pPr>
      <w:r w:rsidRPr="00DA0EE6">
        <w:rPr>
          <w:rFonts w:cstheme="minorHAnsi"/>
          <w:noProof/>
        </w:rPr>
        <w:drawing>
          <wp:inline distT="0" distB="0" distL="0" distR="0" wp14:anchorId="010CE440" wp14:editId="669D1030">
            <wp:extent cx="5731510" cy="398653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oral_F.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86530"/>
                    </a:xfrm>
                    <a:prstGeom prst="rect">
                      <a:avLst/>
                    </a:prstGeom>
                  </pic:spPr>
                </pic:pic>
              </a:graphicData>
            </a:graphic>
          </wp:inline>
        </w:drawing>
      </w:r>
    </w:p>
    <w:p w14:paraId="79C91524" w14:textId="77777777" w:rsidR="009C236C" w:rsidRPr="0024202B" w:rsidRDefault="009C236C" w:rsidP="00312C81">
      <w:pPr>
        <w:adjustRightInd w:val="0"/>
        <w:snapToGrid w:val="0"/>
        <w:spacing w:after="0" w:line="240" w:lineRule="auto"/>
        <w:jc w:val="both"/>
        <w:rPr>
          <w:rFonts w:cstheme="minorHAnsi"/>
          <w:b/>
          <w:bCs/>
        </w:rPr>
      </w:pPr>
      <w:r w:rsidRPr="00DA0EE6">
        <w:rPr>
          <w:rFonts w:cstheme="minorHAnsi"/>
          <w:b/>
        </w:rPr>
        <w:t xml:space="preserve">Figure YFT-6. </w:t>
      </w:r>
      <w:r w:rsidRPr="0024202B">
        <w:rPr>
          <w:rStyle w:val="fontstyle01"/>
          <w:rFonts w:asciiTheme="minorHAnsi" w:hAnsiTheme="minorHAnsi" w:cstheme="minorHAnsi"/>
          <w:color w:val="auto"/>
        </w:rPr>
        <w:t>Estimated annual average juvenile and adult fishing mortality for the diagnostic model.</w:t>
      </w:r>
    </w:p>
    <w:p w14:paraId="323D066E" w14:textId="77777777" w:rsidR="009C236C" w:rsidRPr="00DA0EE6" w:rsidRDefault="009C236C" w:rsidP="00194EBD">
      <w:pPr>
        <w:adjustRightInd w:val="0"/>
        <w:snapToGrid w:val="0"/>
        <w:spacing w:after="0" w:line="240" w:lineRule="auto"/>
        <w:jc w:val="center"/>
        <w:rPr>
          <w:rFonts w:cstheme="minorHAnsi"/>
          <w:b/>
        </w:rPr>
      </w:pPr>
      <w:r w:rsidRPr="00DA0EE6">
        <w:rPr>
          <w:rFonts w:cstheme="minorHAnsi"/>
          <w:b/>
          <w:noProof/>
        </w:rPr>
        <w:lastRenderedPageBreak/>
        <w:drawing>
          <wp:inline distT="0" distB="0" distL="0" distR="0" wp14:anchorId="3282F055" wp14:editId="3AD2DF76">
            <wp:extent cx="4957011" cy="4247023"/>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sheryImpactSSB.png"/>
                    <pic:cNvPicPr/>
                  </pic:nvPicPr>
                  <pic:blipFill>
                    <a:blip r:embed="rId31">
                      <a:extLst>
                        <a:ext uri="{28A0092B-C50C-407E-A947-70E740481C1C}">
                          <a14:useLocalDpi xmlns:a14="http://schemas.microsoft.com/office/drawing/2010/main" val="0"/>
                        </a:ext>
                      </a:extLst>
                    </a:blip>
                    <a:stretch>
                      <a:fillRect/>
                    </a:stretch>
                  </pic:blipFill>
                  <pic:spPr>
                    <a:xfrm>
                      <a:off x="0" y="0"/>
                      <a:ext cx="4971224" cy="4259200"/>
                    </a:xfrm>
                    <a:prstGeom prst="rect">
                      <a:avLst/>
                    </a:prstGeom>
                  </pic:spPr>
                </pic:pic>
              </a:graphicData>
            </a:graphic>
          </wp:inline>
        </w:drawing>
      </w:r>
    </w:p>
    <w:p w14:paraId="6A2C89A4" w14:textId="77777777" w:rsidR="009C236C" w:rsidRPr="00DA0EE6" w:rsidRDefault="009C236C" w:rsidP="00312C81">
      <w:pPr>
        <w:adjustRightInd w:val="0"/>
        <w:snapToGrid w:val="0"/>
        <w:spacing w:after="0" w:line="240" w:lineRule="auto"/>
        <w:jc w:val="both"/>
        <w:rPr>
          <w:rStyle w:val="fontstyle01"/>
          <w:rFonts w:asciiTheme="minorHAnsi" w:hAnsiTheme="minorHAnsi" w:cstheme="minorHAnsi"/>
        </w:rPr>
      </w:pPr>
      <w:r w:rsidRPr="00DA0EE6">
        <w:rPr>
          <w:rFonts w:cstheme="minorHAnsi"/>
          <w:b/>
        </w:rPr>
        <w:t xml:space="preserve">Figure YFT-7. </w:t>
      </w:r>
      <w:r w:rsidRPr="00DA0EE6">
        <w:rPr>
          <w:rFonts w:cstheme="minorHAnsi"/>
          <w:color w:val="222222"/>
          <w:shd w:val="clear" w:color="auto" w:fill="FFFFFF"/>
        </w:rPr>
        <w:t>Estimates of reduction in spawning potential due to fishing by region (Fishery Impact =(1-SB</w:t>
      </w:r>
      <w:r w:rsidRPr="00DA0EE6">
        <w:rPr>
          <w:rFonts w:cstheme="minorHAnsi"/>
          <w:color w:val="222222"/>
          <w:shd w:val="clear" w:color="auto" w:fill="FFFFFF"/>
          <w:vertAlign w:val="subscript"/>
        </w:rPr>
        <w:t>t</w:t>
      </w:r>
      <w:r w:rsidRPr="00DA0EE6">
        <w:rPr>
          <w:rFonts w:cstheme="minorHAnsi"/>
          <w:color w:val="222222"/>
          <w:shd w:val="clear" w:color="auto" w:fill="FFFFFF"/>
        </w:rPr>
        <w:t>/</w:t>
      </w:r>
      <w:proofErr w:type="spellStart"/>
      <w:r w:rsidRPr="00DA0EE6">
        <w:rPr>
          <w:rFonts w:cstheme="minorHAnsi"/>
          <w:color w:val="222222"/>
          <w:shd w:val="clear" w:color="auto" w:fill="FFFFFF"/>
        </w:rPr>
        <w:t>SB</w:t>
      </w:r>
      <w:r w:rsidRPr="00DA0EE6">
        <w:rPr>
          <w:rFonts w:cstheme="minorHAnsi"/>
          <w:color w:val="222222"/>
          <w:shd w:val="clear" w:color="auto" w:fill="FFFFFF"/>
          <w:vertAlign w:val="subscript"/>
        </w:rPr>
        <w:t>t;F</w:t>
      </w:r>
      <w:proofErr w:type="spellEnd"/>
      <w:r w:rsidRPr="00DA0EE6">
        <w:rPr>
          <w:rFonts w:cstheme="minorHAnsi"/>
          <w:color w:val="222222"/>
          <w:shd w:val="clear" w:color="auto" w:fill="FFFFFF"/>
          <w:vertAlign w:val="subscript"/>
        </w:rPr>
        <w:t>=0</w:t>
      </w:r>
      <w:r w:rsidRPr="00DA0EE6">
        <w:rPr>
          <w:rFonts w:cstheme="minorHAnsi"/>
          <w:color w:val="222222"/>
          <w:shd w:val="clear" w:color="auto" w:fill="FFFFFF"/>
        </w:rPr>
        <w:t>) * 100%) and over all regions (lower right panel), attributed to various fishery groups for the diagnostic model.</w:t>
      </w:r>
    </w:p>
    <w:p w14:paraId="49A9570F" w14:textId="77777777" w:rsidR="009C236C" w:rsidRPr="00DA0EE6" w:rsidRDefault="009C236C" w:rsidP="009C236C">
      <w:pPr>
        <w:adjustRightInd w:val="0"/>
        <w:snapToGrid w:val="0"/>
        <w:rPr>
          <w:rFonts w:cstheme="minorHAnsi"/>
        </w:rPr>
      </w:pPr>
    </w:p>
    <w:p w14:paraId="54D502D8" w14:textId="77777777" w:rsidR="009C236C" w:rsidRPr="00DA0EE6" w:rsidRDefault="009C236C" w:rsidP="00312C81">
      <w:pPr>
        <w:adjustRightInd w:val="0"/>
        <w:snapToGrid w:val="0"/>
        <w:spacing w:after="0" w:line="240" w:lineRule="auto"/>
        <w:jc w:val="center"/>
        <w:rPr>
          <w:rFonts w:cstheme="minorHAnsi"/>
        </w:rPr>
      </w:pPr>
      <w:r w:rsidRPr="00DA0EE6">
        <w:rPr>
          <w:rFonts w:cstheme="minorHAnsi"/>
          <w:noProof/>
        </w:rPr>
        <w:drawing>
          <wp:inline distT="0" distB="0" distL="0" distR="0" wp14:anchorId="24712A1D" wp14:editId="41416399">
            <wp:extent cx="4499810" cy="2093495"/>
            <wp:effectExtent l="0" t="0" r="0" b="254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13252" cy="2099749"/>
                    </a:xfrm>
                    <a:prstGeom prst="rect">
                      <a:avLst/>
                    </a:prstGeom>
                  </pic:spPr>
                </pic:pic>
              </a:graphicData>
            </a:graphic>
          </wp:inline>
        </w:drawing>
      </w:r>
    </w:p>
    <w:p w14:paraId="0ADAF41C" w14:textId="77777777" w:rsidR="009C236C" w:rsidRPr="00DA0EE6" w:rsidRDefault="009C236C" w:rsidP="00312C81">
      <w:pPr>
        <w:adjustRightInd w:val="0"/>
        <w:snapToGrid w:val="0"/>
        <w:spacing w:after="0" w:line="240" w:lineRule="auto"/>
        <w:jc w:val="both"/>
        <w:rPr>
          <w:rFonts w:cstheme="minorHAnsi"/>
          <w:b/>
        </w:rPr>
      </w:pPr>
    </w:p>
    <w:p w14:paraId="0CD38F45" w14:textId="77777777" w:rsidR="009C236C" w:rsidRPr="0024202B" w:rsidRDefault="009C236C" w:rsidP="00312C81">
      <w:pPr>
        <w:adjustRightInd w:val="0"/>
        <w:snapToGrid w:val="0"/>
        <w:spacing w:after="0" w:line="240" w:lineRule="auto"/>
        <w:jc w:val="both"/>
        <w:rPr>
          <w:rFonts w:cstheme="minorHAnsi"/>
        </w:rPr>
      </w:pPr>
      <w:r w:rsidRPr="00DA0EE6">
        <w:rPr>
          <w:rFonts w:cstheme="minorHAnsi"/>
          <w:b/>
        </w:rPr>
        <w:t xml:space="preserve">Figure YFT-8. </w:t>
      </w:r>
      <w:r w:rsidRPr="0024202B">
        <w:rPr>
          <w:rFonts w:cstheme="minorHAnsi"/>
        </w:rPr>
        <w:t xml:space="preserve">Plot showing </w:t>
      </w:r>
      <w:r w:rsidRPr="0024202B">
        <w:rPr>
          <w:rStyle w:val="fontstyle01"/>
          <w:rFonts w:asciiTheme="minorHAnsi" w:hAnsiTheme="minorHAnsi" w:cstheme="minorHAnsi"/>
          <w:color w:val="auto"/>
        </w:rPr>
        <w:t xml:space="preserve">the trajectories of fishing depletion of spawning potential for the models in the structural uncertainty grid for the median, 50% quantile, and 80% quantile of instantaneous depletion across the structural uncertainty grid </w:t>
      </w:r>
      <w:r w:rsidRPr="0024202B">
        <w:rPr>
          <w:rFonts w:cstheme="minorHAnsi"/>
        </w:rPr>
        <w:t>and the point and error bars is the median and 10</w:t>
      </w:r>
      <w:r w:rsidRPr="0024202B">
        <w:rPr>
          <w:rFonts w:cstheme="minorHAnsi"/>
          <w:vertAlign w:val="superscript"/>
        </w:rPr>
        <w:t>th</w:t>
      </w:r>
      <w:r w:rsidRPr="0024202B">
        <w:rPr>
          <w:rFonts w:cstheme="minorHAnsi"/>
        </w:rPr>
        <w:t xml:space="preserve"> and 90</w:t>
      </w:r>
      <w:r w:rsidRPr="0024202B">
        <w:rPr>
          <w:rFonts w:cstheme="minorHAnsi"/>
          <w:vertAlign w:val="superscript"/>
        </w:rPr>
        <w:t>th</w:t>
      </w:r>
      <w:r w:rsidRPr="0024202B">
        <w:rPr>
          <w:rFonts w:cstheme="minorHAnsi"/>
        </w:rPr>
        <w:t xml:space="preserve"> percentile of estimates of </w:t>
      </w:r>
      <w:proofErr w:type="spellStart"/>
      <w:r w:rsidRPr="0024202B">
        <w:rPr>
          <w:rFonts w:cstheme="minorHAnsi"/>
          <w:i/>
          <w:iCs/>
        </w:rPr>
        <w:t>SB</w:t>
      </w:r>
      <w:r w:rsidRPr="0024202B">
        <w:rPr>
          <w:rFonts w:cstheme="minorHAnsi"/>
          <w:i/>
          <w:iCs/>
          <w:vertAlign w:val="subscript"/>
        </w:rPr>
        <w:t>recent</w:t>
      </w:r>
      <w:proofErr w:type="spellEnd"/>
      <w:r w:rsidRPr="0024202B">
        <w:rPr>
          <w:rFonts w:cstheme="minorHAnsi"/>
          <w:i/>
          <w:iCs/>
        </w:rPr>
        <w:t>/SB</w:t>
      </w:r>
      <w:r w:rsidRPr="0024202B">
        <w:rPr>
          <w:rFonts w:cstheme="minorHAnsi"/>
          <w:i/>
          <w:iCs/>
          <w:vertAlign w:val="subscript"/>
        </w:rPr>
        <w:t>F</w:t>
      </w:r>
      <w:r w:rsidRPr="0024202B">
        <w:rPr>
          <w:rFonts w:cstheme="minorHAnsi"/>
          <w:vertAlign w:val="subscript"/>
        </w:rPr>
        <w:t>=0</w:t>
      </w:r>
      <w:r w:rsidRPr="0024202B">
        <w:rPr>
          <w:rFonts w:cstheme="minorHAnsi"/>
        </w:rPr>
        <w:t>.</w:t>
      </w:r>
    </w:p>
    <w:p w14:paraId="2B2C0D47" w14:textId="77777777" w:rsidR="009C236C" w:rsidRPr="0024202B" w:rsidRDefault="009C236C" w:rsidP="00312C81">
      <w:pPr>
        <w:spacing w:after="0" w:line="240" w:lineRule="auto"/>
        <w:rPr>
          <w:rFonts w:cstheme="minorHAnsi"/>
        </w:rPr>
      </w:pPr>
      <w:r w:rsidRPr="0024202B">
        <w:rPr>
          <w:rFonts w:cstheme="minorHAnsi"/>
        </w:rPr>
        <w:br w:type="page"/>
      </w:r>
    </w:p>
    <w:p w14:paraId="54063402" w14:textId="77777777" w:rsidR="009C236C" w:rsidRPr="00DA0EE6" w:rsidRDefault="009C236C" w:rsidP="00312C81">
      <w:pPr>
        <w:adjustRightInd w:val="0"/>
        <w:snapToGrid w:val="0"/>
        <w:spacing w:after="0" w:line="240" w:lineRule="auto"/>
        <w:jc w:val="center"/>
        <w:rPr>
          <w:rFonts w:cstheme="minorHAnsi"/>
        </w:rPr>
      </w:pPr>
      <w:r w:rsidRPr="00DA0EE6">
        <w:rPr>
          <w:rFonts w:cstheme="minorHAnsi"/>
          <w:noProof/>
        </w:rPr>
        <w:lastRenderedPageBreak/>
        <w:drawing>
          <wp:inline distT="0" distB="0" distL="0" distR="0" wp14:anchorId="76EB3A5F" wp14:editId="392B41E7">
            <wp:extent cx="3310128" cy="3310128"/>
            <wp:effectExtent l="0" t="0" r="508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juroGridDensity.png"/>
                    <pic:cNvPicPr/>
                  </pic:nvPicPr>
                  <pic:blipFill>
                    <a:blip r:embed="rId33">
                      <a:extLst>
                        <a:ext uri="{28A0092B-C50C-407E-A947-70E740481C1C}">
                          <a14:useLocalDpi xmlns:a14="http://schemas.microsoft.com/office/drawing/2010/main" val="0"/>
                        </a:ext>
                      </a:extLst>
                    </a:blip>
                    <a:stretch>
                      <a:fillRect/>
                    </a:stretch>
                  </pic:blipFill>
                  <pic:spPr>
                    <a:xfrm>
                      <a:off x="0" y="0"/>
                      <a:ext cx="3310128" cy="3310128"/>
                    </a:xfrm>
                    <a:prstGeom prst="rect">
                      <a:avLst/>
                    </a:prstGeom>
                  </pic:spPr>
                </pic:pic>
              </a:graphicData>
            </a:graphic>
          </wp:inline>
        </w:drawing>
      </w:r>
    </w:p>
    <w:p w14:paraId="0D061B0E" w14:textId="77777777" w:rsidR="009C236C" w:rsidRPr="00DA0EE6" w:rsidRDefault="009C236C" w:rsidP="00312C81">
      <w:pPr>
        <w:adjustRightInd w:val="0"/>
        <w:snapToGrid w:val="0"/>
        <w:spacing w:after="0" w:line="240" w:lineRule="auto"/>
        <w:jc w:val="both"/>
        <w:rPr>
          <w:rFonts w:cstheme="minorHAnsi"/>
          <w:color w:val="000000"/>
        </w:rPr>
      </w:pPr>
      <w:r w:rsidRPr="00DA0EE6">
        <w:rPr>
          <w:rFonts w:cstheme="minorHAnsi"/>
          <w:b/>
        </w:rPr>
        <w:t xml:space="preserve">Figure YFT-9. </w:t>
      </w:r>
      <w:r w:rsidRPr="00DA0EE6">
        <w:rPr>
          <w:rFonts w:cstheme="minorHAnsi"/>
          <w:color w:val="000000"/>
        </w:rPr>
        <w:t>Majuro plot representing stock status in terms of recent spawning potential depletion (</w:t>
      </w:r>
      <w:r w:rsidRPr="00DA0EE6">
        <w:rPr>
          <w:rFonts w:cstheme="minorHAnsi"/>
          <w:iCs/>
          <w:color w:val="000000"/>
        </w:rPr>
        <w:t>2015–2018)</w:t>
      </w:r>
      <w:r w:rsidRPr="00DA0EE6">
        <w:rPr>
          <w:rFonts w:cstheme="minorHAnsi"/>
          <w:color w:val="000000"/>
        </w:rPr>
        <w:t xml:space="preserve"> and fishing mortality. The plots summarize the results for each of the models in the structural uncertainty grid with marginal distributions for spawning potential depletion and fishing mortality, where the brown triangle is the median of the structural uncertainty grid.</w:t>
      </w:r>
    </w:p>
    <w:p w14:paraId="3E4891E5" w14:textId="77777777" w:rsidR="009C236C" w:rsidRPr="00DA0EE6" w:rsidRDefault="009C236C" w:rsidP="00312C81">
      <w:pPr>
        <w:adjustRightInd w:val="0"/>
        <w:snapToGrid w:val="0"/>
        <w:spacing w:after="0" w:line="240" w:lineRule="auto"/>
        <w:rPr>
          <w:rFonts w:cstheme="minorHAnsi"/>
        </w:rPr>
      </w:pPr>
    </w:p>
    <w:p w14:paraId="0111E5AC" w14:textId="77777777" w:rsidR="009C236C" w:rsidRPr="00DA0EE6" w:rsidRDefault="009C236C" w:rsidP="00312C81">
      <w:pPr>
        <w:adjustRightInd w:val="0"/>
        <w:snapToGrid w:val="0"/>
        <w:spacing w:after="0" w:line="240" w:lineRule="auto"/>
        <w:jc w:val="center"/>
        <w:rPr>
          <w:rFonts w:cstheme="minorHAnsi"/>
        </w:rPr>
      </w:pPr>
      <w:r w:rsidRPr="00DA0EE6">
        <w:rPr>
          <w:rFonts w:cstheme="minorHAnsi"/>
          <w:noProof/>
        </w:rPr>
        <w:drawing>
          <wp:inline distT="0" distB="0" distL="0" distR="0" wp14:anchorId="4B8C0A44" wp14:editId="5672BA41">
            <wp:extent cx="3291840" cy="3291840"/>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beRecent.png"/>
                    <pic:cNvPicPr/>
                  </pic:nvPicPr>
                  <pic:blipFill>
                    <a:blip r:embed="rId34">
                      <a:extLst>
                        <a:ext uri="{28A0092B-C50C-407E-A947-70E740481C1C}">
                          <a14:useLocalDpi xmlns:a14="http://schemas.microsoft.com/office/drawing/2010/main" val="0"/>
                        </a:ext>
                      </a:extLst>
                    </a:blip>
                    <a:stretch>
                      <a:fillRect/>
                    </a:stretch>
                  </pic:blipFill>
                  <pic:spPr>
                    <a:xfrm>
                      <a:off x="0" y="0"/>
                      <a:ext cx="3291840" cy="3291840"/>
                    </a:xfrm>
                    <a:prstGeom prst="rect">
                      <a:avLst/>
                    </a:prstGeom>
                  </pic:spPr>
                </pic:pic>
              </a:graphicData>
            </a:graphic>
          </wp:inline>
        </w:drawing>
      </w:r>
    </w:p>
    <w:p w14:paraId="26A4A50B" w14:textId="77777777" w:rsidR="009C236C" w:rsidRPr="00DA0EE6" w:rsidRDefault="009C236C" w:rsidP="00312C81">
      <w:pPr>
        <w:adjustRightInd w:val="0"/>
        <w:snapToGrid w:val="0"/>
        <w:spacing w:after="0" w:line="240" w:lineRule="auto"/>
        <w:jc w:val="both"/>
        <w:rPr>
          <w:rFonts w:cstheme="minorHAnsi"/>
        </w:rPr>
      </w:pPr>
      <w:r w:rsidRPr="00DA0EE6">
        <w:rPr>
          <w:rFonts w:cstheme="minorHAnsi"/>
          <w:b/>
        </w:rPr>
        <w:t xml:space="preserve">Figure YFT-10. </w:t>
      </w:r>
      <w:r w:rsidRPr="00DA0EE6">
        <w:rPr>
          <w:rFonts w:cstheme="minorHAnsi"/>
        </w:rPr>
        <w:t xml:space="preserve">Kobe plot for the recent spawning potential (2015–2018) summarizing the results for each of the models in the structural uncertainty grid. The plots represent estimates of stock status in terms of spawning biomass depletion and fishing mortality relative to </w:t>
      </w:r>
      <w:r w:rsidRPr="00DA0EE6">
        <w:rPr>
          <w:rFonts w:cstheme="minorHAnsi"/>
          <w:i/>
        </w:rPr>
        <w:t>MSY</w:t>
      </w:r>
      <w:r w:rsidRPr="00DA0EE6">
        <w:rPr>
          <w:rFonts w:cstheme="minorHAnsi"/>
        </w:rPr>
        <w:t xml:space="preserve"> quantities and marginal distributions of each are presented with the median of the structural uncertainty grid displayed as a brown triangle.</w:t>
      </w:r>
    </w:p>
    <w:p w14:paraId="155C5B43" w14:textId="77777777" w:rsidR="009C236C" w:rsidRPr="00DA0EE6" w:rsidRDefault="009C236C" w:rsidP="00BC2504">
      <w:pPr>
        <w:adjustRightInd w:val="0"/>
        <w:snapToGrid w:val="0"/>
        <w:spacing w:after="0" w:line="240" w:lineRule="auto"/>
        <w:jc w:val="center"/>
        <w:rPr>
          <w:rFonts w:cstheme="minorHAnsi"/>
        </w:rPr>
      </w:pPr>
      <w:r w:rsidRPr="00DA0EE6">
        <w:rPr>
          <w:rFonts w:cstheme="minorHAnsi"/>
          <w:noProof/>
        </w:rPr>
        <w:lastRenderedPageBreak/>
        <w:drawing>
          <wp:inline distT="0" distB="0" distL="0" distR="0" wp14:anchorId="0A602A81" wp14:editId="264B5701">
            <wp:extent cx="4546242" cy="2727746"/>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YFT_stochastic_proj.png"/>
                    <pic:cNvPicPr/>
                  </pic:nvPicPr>
                  <pic:blipFill>
                    <a:blip r:embed="rId35">
                      <a:extLst>
                        <a:ext uri="{28A0092B-C50C-407E-A947-70E740481C1C}">
                          <a14:useLocalDpi xmlns:a14="http://schemas.microsoft.com/office/drawing/2010/main" val="0"/>
                        </a:ext>
                      </a:extLst>
                    </a:blip>
                    <a:stretch>
                      <a:fillRect/>
                    </a:stretch>
                  </pic:blipFill>
                  <pic:spPr>
                    <a:xfrm>
                      <a:off x="0" y="0"/>
                      <a:ext cx="4574240" cy="2744545"/>
                    </a:xfrm>
                    <a:prstGeom prst="rect">
                      <a:avLst/>
                    </a:prstGeom>
                  </pic:spPr>
                </pic:pic>
              </a:graphicData>
            </a:graphic>
          </wp:inline>
        </w:drawing>
      </w:r>
    </w:p>
    <w:p w14:paraId="1325C42A" w14:textId="77777777" w:rsidR="009C236C" w:rsidRPr="00DA0EE6" w:rsidRDefault="009C236C" w:rsidP="00BC2504">
      <w:pPr>
        <w:adjustRightInd w:val="0"/>
        <w:snapToGrid w:val="0"/>
        <w:spacing w:after="0" w:line="240" w:lineRule="auto"/>
        <w:jc w:val="both"/>
        <w:rPr>
          <w:rFonts w:cstheme="minorHAnsi"/>
        </w:rPr>
      </w:pPr>
      <w:r w:rsidRPr="00DA0EE6">
        <w:rPr>
          <w:rFonts w:cstheme="minorHAnsi"/>
          <w:b/>
        </w:rPr>
        <w:t>Figure YFT-11.</w:t>
      </w:r>
      <w:r w:rsidRPr="00DA0EE6">
        <w:rPr>
          <w:rFonts w:cstheme="minorHAnsi"/>
          <w:color w:val="000000"/>
        </w:rPr>
        <w:t>Time series of yellowfin tuna spawning biomass (</w:t>
      </w:r>
      <w:proofErr w:type="spellStart"/>
      <w:r w:rsidRPr="00DA0EE6">
        <w:rPr>
          <w:rFonts w:cstheme="minorHAnsi"/>
          <w:i/>
          <w:iCs/>
          <w:color w:val="000000"/>
        </w:rPr>
        <w:t>SB</w:t>
      </w:r>
      <w:r w:rsidRPr="00DA0EE6">
        <w:rPr>
          <w:rFonts w:cstheme="minorHAnsi"/>
          <w:i/>
          <w:iCs/>
          <w:color w:val="000000"/>
          <w:vertAlign w:val="subscript"/>
        </w:rPr>
        <w:t>t</w:t>
      </w:r>
      <w:proofErr w:type="spellEnd"/>
      <w:r w:rsidRPr="00DA0EE6">
        <w:rPr>
          <w:rFonts w:cstheme="minorHAnsi"/>
          <w:i/>
          <w:iCs/>
          <w:color w:val="000000"/>
        </w:rPr>
        <w:t>/</w:t>
      </w:r>
      <w:proofErr w:type="spellStart"/>
      <w:r w:rsidRPr="00DA0EE6">
        <w:rPr>
          <w:rFonts w:cstheme="minorHAnsi"/>
          <w:i/>
          <w:iCs/>
          <w:color w:val="000000"/>
        </w:rPr>
        <w:t>SB</w:t>
      </w:r>
      <w:r w:rsidRPr="00DA0EE6">
        <w:rPr>
          <w:rFonts w:cstheme="minorHAnsi"/>
          <w:i/>
          <w:iCs/>
          <w:color w:val="000000"/>
          <w:vertAlign w:val="subscript"/>
        </w:rPr>
        <w:t>t,F</w:t>
      </w:r>
      <w:proofErr w:type="spellEnd"/>
      <w:r w:rsidRPr="00DA0EE6">
        <w:rPr>
          <w:rFonts w:cstheme="minorHAnsi"/>
          <w:color w:val="000000"/>
          <w:vertAlign w:val="subscript"/>
        </w:rPr>
        <w:t>=0</w:t>
      </w:r>
      <w:r w:rsidRPr="00DA0EE6">
        <w:rPr>
          <w:rFonts w:cstheme="minorHAnsi"/>
          <w:color w:val="000000"/>
        </w:rPr>
        <w:t xml:space="preserve">, where </w:t>
      </w:r>
      <w:proofErr w:type="spellStart"/>
      <w:r w:rsidRPr="00DA0EE6">
        <w:rPr>
          <w:rFonts w:cstheme="minorHAnsi"/>
          <w:i/>
          <w:iCs/>
          <w:color w:val="000000"/>
        </w:rPr>
        <w:t>SB</w:t>
      </w:r>
      <w:r w:rsidRPr="00DA0EE6">
        <w:rPr>
          <w:rFonts w:cstheme="minorHAnsi"/>
          <w:i/>
          <w:iCs/>
          <w:color w:val="000000"/>
          <w:vertAlign w:val="subscript"/>
        </w:rPr>
        <w:t>t,F</w:t>
      </w:r>
      <w:proofErr w:type="spellEnd"/>
      <w:r w:rsidRPr="00DA0EE6">
        <w:rPr>
          <w:rFonts w:cstheme="minorHAnsi"/>
          <w:color w:val="000000"/>
          <w:vertAlign w:val="subscript"/>
        </w:rPr>
        <w:t>=0</w:t>
      </w:r>
      <w:r w:rsidRPr="00DA0EE6">
        <w:rPr>
          <w:rFonts w:cstheme="minorHAnsi"/>
          <w:color w:val="000000"/>
        </w:rPr>
        <w:t xml:space="preserve"> is the average SB from t-10 to t-1) from the uncertainty grid of assessment models for the period 2000 to 2018, and stochastic projection results for the period 2019 to 2048 assuming 2016-2018 average catches in longline and other fisheries and 2018 effort in purse seine fisheries continue. Vertical gray line at 2018 represents the last year of the assessment. During the projection period (2019-2048) levels of recruitment variability are assumed to match those over the time period used to estimate the stock-recruitment relationship (1962-2017). The red horizontal dashed line represents the agreed limit reference point. </w:t>
      </w:r>
    </w:p>
    <w:p w14:paraId="2AE33E89"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6AE2E399"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 xml:space="preserve">SC16 </w:t>
      </w:r>
      <w:r w:rsidRPr="00DA0EE6">
        <w:rPr>
          <w:rFonts w:asciiTheme="minorHAnsi" w:hAnsiTheme="minorHAnsi" w:cstheme="minorHAnsi"/>
        </w:rPr>
        <w:t>noted</w:t>
      </w:r>
      <w:r w:rsidRPr="00DA0EE6">
        <w:rPr>
          <w:rFonts w:asciiTheme="minorHAnsi" w:hAnsiTheme="minorHAnsi" w:cstheme="minorHAnsi"/>
          <w:bCs/>
        </w:rPr>
        <w:t xml:space="preserve"> that there has been a long-term decrease in spawning biomass from the 1970s for yellowfin tuna but that the depletion rates have been relatively stable over the last decade. </w:t>
      </w:r>
    </w:p>
    <w:p w14:paraId="1D425444"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14A77153"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 xml:space="preserve">SC16 </w:t>
      </w:r>
      <w:r w:rsidRPr="00DA0EE6">
        <w:rPr>
          <w:rFonts w:asciiTheme="minorHAnsi" w:hAnsiTheme="minorHAnsi" w:cstheme="minorHAnsi"/>
        </w:rPr>
        <w:t>also</w:t>
      </w:r>
      <w:r w:rsidRPr="00DA0EE6">
        <w:rPr>
          <w:rFonts w:asciiTheme="minorHAnsi" w:hAnsiTheme="minorHAnsi" w:cstheme="minorHAnsi"/>
          <w:bCs/>
        </w:rPr>
        <w:t xml:space="preserve"> noted that the median value of relative recent (2015-2018) spawning biomass depletion </w:t>
      </w:r>
      <w:r w:rsidRPr="00DA0EE6">
        <w:rPr>
          <w:rFonts w:asciiTheme="minorHAnsi" w:hAnsiTheme="minorHAnsi" w:cstheme="minorHAnsi"/>
          <w:bCs/>
          <w:position w:val="2"/>
        </w:rPr>
        <w:t>(SB</w:t>
      </w:r>
      <w:r w:rsidRPr="00DA0EE6">
        <w:rPr>
          <w:rFonts w:asciiTheme="minorHAnsi" w:hAnsiTheme="minorHAnsi" w:cstheme="minorHAnsi"/>
          <w:bCs/>
          <w:vertAlign w:val="subscript"/>
        </w:rPr>
        <w:t>2015-2018</w:t>
      </w:r>
      <w:r w:rsidRPr="00DA0EE6">
        <w:rPr>
          <w:rFonts w:asciiTheme="minorHAnsi" w:hAnsiTheme="minorHAnsi" w:cstheme="minorHAnsi"/>
          <w:bCs/>
          <w:position w:val="2"/>
        </w:rPr>
        <w:t>/SB</w:t>
      </w:r>
      <w:r w:rsidRPr="00DA0EE6">
        <w:rPr>
          <w:rFonts w:asciiTheme="minorHAnsi" w:hAnsiTheme="minorHAnsi" w:cstheme="minorHAnsi"/>
          <w:bCs/>
          <w:vertAlign w:val="subscript"/>
        </w:rPr>
        <w:t>F=0</w:t>
      </w:r>
      <w:r w:rsidRPr="00DA0EE6">
        <w:rPr>
          <w:rFonts w:asciiTheme="minorHAnsi" w:hAnsiTheme="minorHAnsi" w:cstheme="minorHAnsi"/>
          <w:bCs/>
          <w:position w:val="2"/>
        </w:rPr>
        <w:t>) was 0.58 with a 10</w:t>
      </w:r>
      <w:r w:rsidRPr="00DA0EE6">
        <w:rPr>
          <w:rFonts w:asciiTheme="minorHAnsi" w:hAnsiTheme="minorHAnsi" w:cstheme="minorHAnsi"/>
          <w:bCs/>
          <w:position w:val="2"/>
          <w:vertAlign w:val="superscript"/>
        </w:rPr>
        <w:t>th</w:t>
      </w:r>
      <w:r w:rsidRPr="00DA0EE6">
        <w:rPr>
          <w:rFonts w:asciiTheme="minorHAnsi" w:hAnsiTheme="minorHAnsi" w:cstheme="minorHAnsi"/>
          <w:bCs/>
          <w:position w:val="2"/>
        </w:rPr>
        <w:t xml:space="preserve"> to 90</w:t>
      </w:r>
      <w:r w:rsidRPr="00DA0EE6">
        <w:rPr>
          <w:rFonts w:asciiTheme="minorHAnsi" w:hAnsiTheme="minorHAnsi" w:cstheme="minorHAnsi"/>
          <w:bCs/>
          <w:position w:val="2"/>
          <w:vertAlign w:val="superscript"/>
        </w:rPr>
        <w:t>th</w:t>
      </w:r>
      <w:r w:rsidRPr="00DA0EE6">
        <w:rPr>
          <w:rFonts w:asciiTheme="minorHAnsi" w:hAnsiTheme="minorHAnsi" w:cstheme="minorHAnsi"/>
          <w:bCs/>
          <w:position w:val="2"/>
        </w:rPr>
        <w:t xml:space="preserve"> percentile </w:t>
      </w:r>
      <w:r w:rsidRPr="00DA0EE6">
        <w:rPr>
          <w:rFonts w:asciiTheme="minorHAnsi" w:hAnsiTheme="minorHAnsi" w:cstheme="minorHAnsi"/>
          <w:bCs/>
        </w:rPr>
        <w:t xml:space="preserve">interval of 0.51 to 0.64. </w:t>
      </w:r>
    </w:p>
    <w:p w14:paraId="76B32E9A"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530FC5A7" w14:textId="2732A6E0"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rPr>
        <w:t>SC16</w:t>
      </w:r>
      <w:r w:rsidR="00BC2504" w:rsidRPr="00DA0EE6">
        <w:rPr>
          <w:rFonts w:asciiTheme="minorHAnsi" w:hAnsiTheme="minorHAnsi" w:cstheme="minorHAnsi"/>
        </w:rPr>
        <w:t xml:space="preserve"> </w:t>
      </w:r>
      <w:r w:rsidRPr="00DA0EE6">
        <w:rPr>
          <w:rFonts w:asciiTheme="minorHAnsi" w:hAnsiTheme="minorHAnsi" w:cstheme="minorHAnsi"/>
          <w:bCs/>
        </w:rPr>
        <w:t>further</w:t>
      </w:r>
      <w:r w:rsidR="00BC2504" w:rsidRPr="00DA0EE6">
        <w:rPr>
          <w:rFonts w:asciiTheme="minorHAnsi" w:hAnsiTheme="minorHAnsi" w:cstheme="minorHAnsi"/>
          <w:bCs/>
        </w:rPr>
        <w:t xml:space="preserve"> </w:t>
      </w:r>
      <w:r w:rsidRPr="00DA0EE6">
        <w:rPr>
          <w:rFonts w:asciiTheme="minorHAnsi" w:hAnsiTheme="minorHAnsi" w:cstheme="minorHAnsi"/>
          <w:bCs/>
        </w:rPr>
        <w:t>noted</w:t>
      </w:r>
      <w:r w:rsidR="00BC2504" w:rsidRPr="00DA0EE6">
        <w:rPr>
          <w:rFonts w:asciiTheme="minorHAnsi" w:hAnsiTheme="minorHAnsi" w:cstheme="minorHAnsi"/>
          <w:bCs/>
        </w:rPr>
        <w:t xml:space="preserve"> </w:t>
      </w:r>
      <w:r w:rsidRPr="00DA0EE6">
        <w:rPr>
          <w:rFonts w:asciiTheme="minorHAnsi" w:hAnsiTheme="minorHAnsi" w:cstheme="minorHAnsi"/>
          <w:bCs/>
        </w:rPr>
        <w:t>that</w:t>
      </w:r>
      <w:r w:rsidR="00BC2504" w:rsidRPr="00DA0EE6">
        <w:rPr>
          <w:rFonts w:asciiTheme="minorHAnsi" w:hAnsiTheme="minorHAnsi" w:cstheme="minorHAnsi"/>
          <w:bCs/>
        </w:rPr>
        <w:t xml:space="preserve"> </w:t>
      </w:r>
      <w:r w:rsidRPr="00DA0EE6">
        <w:rPr>
          <w:rFonts w:asciiTheme="minorHAnsi" w:hAnsiTheme="minorHAnsi" w:cstheme="minorHAnsi"/>
          <w:bCs/>
        </w:rPr>
        <w:t>there</w:t>
      </w:r>
      <w:r w:rsidR="00BC2504" w:rsidRPr="00DA0EE6">
        <w:rPr>
          <w:rFonts w:asciiTheme="minorHAnsi" w:hAnsiTheme="minorHAnsi" w:cstheme="minorHAnsi"/>
          <w:bCs/>
        </w:rPr>
        <w:t xml:space="preserve"> </w:t>
      </w:r>
      <w:r w:rsidRPr="00DA0EE6">
        <w:rPr>
          <w:rFonts w:asciiTheme="minorHAnsi" w:hAnsiTheme="minorHAnsi" w:cstheme="minorHAnsi"/>
          <w:bCs/>
        </w:rPr>
        <w:t>was</w:t>
      </w:r>
      <w:r w:rsidR="00BC2504" w:rsidRPr="00DA0EE6">
        <w:rPr>
          <w:rFonts w:asciiTheme="minorHAnsi" w:hAnsiTheme="minorHAnsi" w:cstheme="minorHAnsi"/>
          <w:bCs/>
        </w:rPr>
        <w:t xml:space="preserve"> </w:t>
      </w:r>
      <w:r w:rsidRPr="00DA0EE6">
        <w:rPr>
          <w:rFonts w:asciiTheme="minorHAnsi" w:hAnsiTheme="minorHAnsi" w:cstheme="minorHAnsi"/>
          <w:bCs/>
        </w:rPr>
        <w:t>0%</w:t>
      </w:r>
      <w:r w:rsidR="00BC2504" w:rsidRPr="00DA0EE6">
        <w:rPr>
          <w:rFonts w:asciiTheme="minorHAnsi" w:hAnsiTheme="minorHAnsi" w:cstheme="minorHAnsi"/>
          <w:bCs/>
        </w:rPr>
        <w:t xml:space="preserve"> </w:t>
      </w:r>
      <w:r w:rsidRPr="00DA0EE6">
        <w:rPr>
          <w:rFonts w:asciiTheme="minorHAnsi" w:hAnsiTheme="minorHAnsi" w:cstheme="minorHAnsi"/>
          <w:bCs/>
        </w:rPr>
        <w:t>probability</w:t>
      </w:r>
      <w:r w:rsidR="00BC2504" w:rsidRPr="00DA0EE6">
        <w:rPr>
          <w:rFonts w:asciiTheme="minorHAnsi" w:hAnsiTheme="minorHAnsi" w:cstheme="minorHAnsi"/>
          <w:bCs/>
        </w:rPr>
        <w:t xml:space="preserve"> </w:t>
      </w:r>
      <w:r w:rsidRPr="00DA0EE6">
        <w:rPr>
          <w:rFonts w:asciiTheme="minorHAnsi" w:hAnsiTheme="minorHAnsi" w:cstheme="minorHAnsi"/>
          <w:bCs/>
        </w:rPr>
        <w:t>(0</w:t>
      </w:r>
      <w:r w:rsidR="00BC2504" w:rsidRPr="00DA0EE6">
        <w:rPr>
          <w:rFonts w:asciiTheme="minorHAnsi" w:hAnsiTheme="minorHAnsi" w:cstheme="minorHAnsi"/>
          <w:bCs/>
        </w:rPr>
        <w:t xml:space="preserve"> </w:t>
      </w:r>
      <w:r w:rsidRPr="00DA0EE6">
        <w:rPr>
          <w:rFonts w:asciiTheme="minorHAnsi" w:hAnsiTheme="minorHAnsi" w:cstheme="minorHAnsi"/>
          <w:bCs/>
        </w:rPr>
        <w:t>out</w:t>
      </w:r>
      <w:r w:rsidR="00BC2504" w:rsidRPr="00DA0EE6">
        <w:rPr>
          <w:rFonts w:asciiTheme="minorHAnsi" w:hAnsiTheme="minorHAnsi" w:cstheme="minorHAnsi"/>
          <w:bCs/>
        </w:rPr>
        <w:t xml:space="preserve"> </w:t>
      </w:r>
      <w:r w:rsidRPr="00DA0EE6">
        <w:rPr>
          <w:rFonts w:asciiTheme="minorHAnsi" w:hAnsiTheme="minorHAnsi" w:cstheme="minorHAnsi"/>
          <w:bCs/>
        </w:rPr>
        <w:t>of</w:t>
      </w:r>
      <w:r w:rsidRPr="00DA0EE6">
        <w:rPr>
          <w:rFonts w:asciiTheme="minorHAnsi" w:hAnsiTheme="minorHAnsi" w:cstheme="minorHAnsi"/>
          <w:bCs/>
          <w:spacing w:val="-3"/>
        </w:rPr>
        <w:t xml:space="preserve"> 72</w:t>
      </w:r>
      <w:r w:rsidR="00BC2504" w:rsidRPr="00DA0EE6">
        <w:rPr>
          <w:rFonts w:asciiTheme="minorHAnsi" w:hAnsiTheme="minorHAnsi" w:cstheme="minorHAnsi"/>
          <w:bCs/>
          <w:spacing w:val="-3"/>
        </w:rPr>
        <w:t xml:space="preserve"> </w:t>
      </w:r>
      <w:r w:rsidRPr="00DA0EE6">
        <w:rPr>
          <w:rFonts w:asciiTheme="minorHAnsi" w:hAnsiTheme="minorHAnsi" w:cstheme="minorHAnsi"/>
          <w:bCs/>
        </w:rPr>
        <w:t xml:space="preserve">models) </w:t>
      </w:r>
      <w:r w:rsidRPr="00DA0EE6">
        <w:rPr>
          <w:rFonts w:asciiTheme="minorHAnsi" w:hAnsiTheme="minorHAnsi" w:cstheme="minorHAnsi"/>
          <w:bCs/>
          <w:position w:val="2"/>
        </w:rPr>
        <w:t>that the recent (2015-2018) spawning biomass had breached the adopted LRP.</w:t>
      </w:r>
    </w:p>
    <w:p w14:paraId="1F1E6D50"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6D546123" w14:textId="5D38971F"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 xml:space="preserve">SC16 noted that there has been a long-term increase in fishing mortality for both juvenile and </w:t>
      </w:r>
      <w:r w:rsidRPr="00DA0EE6">
        <w:rPr>
          <w:rFonts w:asciiTheme="minorHAnsi" w:hAnsiTheme="minorHAnsi" w:cstheme="minorHAnsi"/>
        </w:rPr>
        <w:t>adult</w:t>
      </w:r>
      <w:r w:rsidRPr="00DA0EE6">
        <w:rPr>
          <w:rFonts w:asciiTheme="minorHAnsi" w:hAnsiTheme="minorHAnsi" w:cstheme="minorHAnsi"/>
          <w:bCs/>
        </w:rPr>
        <w:t xml:space="preserve"> yellowfin tuna which is consistent with previous</w:t>
      </w:r>
      <w:r w:rsidR="00BC2504" w:rsidRPr="00DA0EE6">
        <w:rPr>
          <w:rFonts w:asciiTheme="minorHAnsi" w:hAnsiTheme="minorHAnsi" w:cstheme="minorHAnsi"/>
          <w:bCs/>
        </w:rPr>
        <w:t xml:space="preserve"> </w:t>
      </w:r>
      <w:r w:rsidRPr="00DA0EE6">
        <w:rPr>
          <w:rFonts w:asciiTheme="minorHAnsi" w:hAnsiTheme="minorHAnsi" w:cstheme="minorHAnsi"/>
          <w:bCs/>
        </w:rPr>
        <w:t xml:space="preserve">assessments, but since 2010 there has been no directional trend.  </w:t>
      </w:r>
    </w:p>
    <w:p w14:paraId="591F7C11"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27E777DC"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SC16 noted that the median of relative recent fishing mortality (F</w:t>
      </w:r>
      <w:r w:rsidRPr="00DA0EE6">
        <w:rPr>
          <w:rFonts w:asciiTheme="minorHAnsi" w:hAnsiTheme="minorHAnsi" w:cstheme="minorHAnsi"/>
          <w:bCs/>
          <w:vertAlign w:val="subscript"/>
        </w:rPr>
        <w:t>2014-2017</w:t>
      </w:r>
      <w:r w:rsidRPr="00DA0EE6">
        <w:rPr>
          <w:rFonts w:asciiTheme="minorHAnsi" w:hAnsiTheme="minorHAnsi" w:cstheme="minorHAnsi"/>
          <w:bCs/>
        </w:rPr>
        <w:t>/F</w:t>
      </w:r>
      <w:r w:rsidRPr="00DA0EE6">
        <w:rPr>
          <w:rFonts w:asciiTheme="minorHAnsi" w:hAnsiTheme="minorHAnsi" w:cstheme="minorHAnsi"/>
          <w:bCs/>
          <w:vertAlign w:val="subscript"/>
        </w:rPr>
        <w:t>MSY</w:t>
      </w:r>
      <w:r w:rsidRPr="00DA0EE6">
        <w:rPr>
          <w:rFonts w:asciiTheme="minorHAnsi" w:hAnsiTheme="minorHAnsi" w:cstheme="minorHAnsi"/>
          <w:bCs/>
        </w:rPr>
        <w:t>) was 0.36 with a 10</w:t>
      </w:r>
      <w:r w:rsidRPr="00DA0EE6">
        <w:rPr>
          <w:rFonts w:asciiTheme="minorHAnsi" w:hAnsiTheme="minorHAnsi" w:cstheme="minorHAnsi"/>
          <w:bCs/>
          <w:vertAlign w:val="superscript"/>
        </w:rPr>
        <w:t>th</w:t>
      </w:r>
      <w:r w:rsidRPr="00DA0EE6">
        <w:rPr>
          <w:rFonts w:asciiTheme="minorHAnsi" w:hAnsiTheme="minorHAnsi" w:cstheme="minorHAnsi"/>
          <w:bCs/>
        </w:rPr>
        <w:t>to 90</w:t>
      </w:r>
      <w:r w:rsidRPr="00DA0EE6">
        <w:rPr>
          <w:rFonts w:asciiTheme="minorHAnsi" w:hAnsiTheme="minorHAnsi" w:cstheme="minorHAnsi"/>
          <w:bCs/>
          <w:vertAlign w:val="superscript"/>
        </w:rPr>
        <w:t>th</w:t>
      </w:r>
      <w:r w:rsidRPr="00DA0EE6">
        <w:rPr>
          <w:rFonts w:asciiTheme="minorHAnsi" w:hAnsiTheme="minorHAnsi" w:cstheme="minorHAnsi"/>
          <w:bCs/>
        </w:rPr>
        <w:t xml:space="preserve">percentile interval of 0.27 to 0.47. </w:t>
      </w:r>
    </w:p>
    <w:p w14:paraId="75EE0B09"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482A497C" w14:textId="14B3FD03"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rPr>
        <w:t>SC16</w:t>
      </w:r>
      <w:r w:rsidRPr="00DA0EE6">
        <w:rPr>
          <w:rFonts w:asciiTheme="minorHAnsi" w:hAnsiTheme="minorHAnsi" w:cstheme="minorHAnsi"/>
          <w:bCs/>
        </w:rPr>
        <w:t xml:space="preserve"> further noted that there was 0%</w:t>
      </w:r>
      <w:r w:rsidR="00BC2504" w:rsidRPr="00DA0EE6">
        <w:rPr>
          <w:rFonts w:asciiTheme="minorHAnsi" w:hAnsiTheme="minorHAnsi" w:cstheme="minorHAnsi"/>
          <w:bCs/>
        </w:rPr>
        <w:t xml:space="preserve"> </w:t>
      </w:r>
      <w:r w:rsidRPr="00DA0EE6">
        <w:rPr>
          <w:rFonts w:asciiTheme="minorHAnsi" w:hAnsiTheme="minorHAnsi" w:cstheme="minorHAnsi"/>
          <w:bCs/>
        </w:rPr>
        <w:t>probability</w:t>
      </w:r>
      <w:r w:rsidR="00BC2504" w:rsidRPr="00DA0EE6">
        <w:rPr>
          <w:rFonts w:asciiTheme="minorHAnsi" w:hAnsiTheme="minorHAnsi" w:cstheme="minorHAnsi"/>
          <w:bCs/>
        </w:rPr>
        <w:t xml:space="preserve"> </w:t>
      </w:r>
      <w:r w:rsidRPr="00DA0EE6">
        <w:rPr>
          <w:rFonts w:asciiTheme="minorHAnsi" w:hAnsiTheme="minorHAnsi" w:cstheme="minorHAnsi"/>
          <w:bCs/>
        </w:rPr>
        <w:t>(0</w:t>
      </w:r>
      <w:r w:rsidR="00BC2504" w:rsidRPr="00DA0EE6">
        <w:rPr>
          <w:rFonts w:asciiTheme="minorHAnsi" w:hAnsiTheme="minorHAnsi" w:cstheme="minorHAnsi"/>
          <w:bCs/>
        </w:rPr>
        <w:t xml:space="preserve"> </w:t>
      </w:r>
      <w:r w:rsidRPr="00DA0EE6">
        <w:rPr>
          <w:rFonts w:asciiTheme="minorHAnsi" w:hAnsiTheme="minorHAnsi" w:cstheme="minorHAnsi"/>
          <w:bCs/>
        </w:rPr>
        <w:t>out</w:t>
      </w:r>
      <w:r w:rsidR="00BC2504" w:rsidRPr="00DA0EE6">
        <w:rPr>
          <w:rFonts w:asciiTheme="minorHAnsi" w:hAnsiTheme="minorHAnsi" w:cstheme="minorHAnsi"/>
          <w:bCs/>
        </w:rPr>
        <w:t xml:space="preserve"> </w:t>
      </w:r>
      <w:r w:rsidRPr="00DA0EE6">
        <w:rPr>
          <w:rFonts w:asciiTheme="minorHAnsi" w:hAnsiTheme="minorHAnsi" w:cstheme="minorHAnsi"/>
          <w:bCs/>
        </w:rPr>
        <w:t>of</w:t>
      </w:r>
      <w:r w:rsidRPr="00DA0EE6">
        <w:rPr>
          <w:rFonts w:asciiTheme="minorHAnsi" w:hAnsiTheme="minorHAnsi" w:cstheme="minorHAnsi"/>
          <w:bCs/>
          <w:spacing w:val="-3"/>
        </w:rPr>
        <w:t xml:space="preserve"> 72</w:t>
      </w:r>
      <w:r w:rsidR="00BC2504" w:rsidRPr="00DA0EE6">
        <w:rPr>
          <w:rFonts w:asciiTheme="minorHAnsi" w:hAnsiTheme="minorHAnsi" w:cstheme="minorHAnsi"/>
          <w:bCs/>
          <w:spacing w:val="-3"/>
        </w:rPr>
        <w:t xml:space="preserve"> </w:t>
      </w:r>
      <w:r w:rsidRPr="00DA0EE6">
        <w:rPr>
          <w:rFonts w:asciiTheme="minorHAnsi" w:hAnsiTheme="minorHAnsi" w:cstheme="minorHAnsi"/>
          <w:bCs/>
        </w:rPr>
        <w:t xml:space="preserve">models) </w:t>
      </w:r>
      <w:r w:rsidRPr="00DA0EE6">
        <w:rPr>
          <w:rFonts w:asciiTheme="minorHAnsi" w:hAnsiTheme="minorHAnsi" w:cstheme="minorHAnsi"/>
          <w:bCs/>
          <w:position w:val="2"/>
        </w:rPr>
        <w:t>that the</w:t>
      </w:r>
      <w:r w:rsidR="00BC2504" w:rsidRPr="00DA0EE6">
        <w:rPr>
          <w:rFonts w:asciiTheme="minorHAnsi" w:hAnsiTheme="minorHAnsi" w:cstheme="minorHAnsi"/>
          <w:bCs/>
          <w:position w:val="2"/>
        </w:rPr>
        <w:t xml:space="preserve"> </w:t>
      </w:r>
      <w:r w:rsidRPr="00DA0EE6">
        <w:rPr>
          <w:rFonts w:asciiTheme="minorHAnsi" w:hAnsiTheme="minorHAnsi" w:cstheme="minorHAnsi"/>
          <w:bCs/>
          <w:position w:val="2"/>
        </w:rPr>
        <w:t>recent</w:t>
      </w:r>
      <w:r w:rsidRPr="00DA0EE6">
        <w:rPr>
          <w:rFonts w:asciiTheme="minorHAnsi" w:hAnsiTheme="minorHAnsi" w:cstheme="minorHAnsi"/>
          <w:bCs/>
          <w:spacing w:val="-5"/>
          <w:position w:val="2"/>
        </w:rPr>
        <w:t xml:space="preserve"> (2014-2017) </w:t>
      </w:r>
      <w:r w:rsidRPr="00DA0EE6">
        <w:rPr>
          <w:rFonts w:asciiTheme="minorHAnsi" w:hAnsiTheme="minorHAnsi" w:cstheme="minorHAnsi"/>
          <w:bCs/>
        </w:rPr>
        <w:t>fishing</w:t>
      </w:r>
      <w:r w:rsidR="00BC2504" w:rsidRPr="00DA0EE6">
        <w:rPr>
          <w:rFonts w:asciiTheme="minorHAnsi" w:hAnsiTheme="minorHAnsi" w:cstheme="minorHAnsi"/>
          <w:bCs/>
        </w:rPr>
        <w:t xml:space="preserve"> </w:t>
      </w:r>
      <w:r w:rsidRPr="00DA0EE6">
        <w:rPr>
          <w:rFonts w:asciiTheme="minorHAnsi" w:hAnsiTheme="minorHAnsi" w:cstheme="minorHAnsi"/>
          <w:bCs/>
          <w:position w:val="2"/>
        </w:rPr>
        <w:t>mortality</w:t>
      </w:r>
      <w:r w:rsidR="00BC2504" w:rsidRPr="00DA0EE6">
        <w:rPr>
          <w:rFonts w:asciiTheme="minorHAnsi" w:hAnsiTheme="minorHAnsi" w:cstheme="minorHAnsi"/>
          <w:bCs/>
          <w:position w:val="2"/>
        </w:rPr>
        <w:t xml:space="preserve"> </w:t>
      </w:r>
      <w:r w:rsidRPr="00DA0EE6">
        <w:rPr>
          <w:rFonts w:asciiTheme="minorHAnsi" w:hAnsiTheme="minorHAnsi" w:cstheme="minorHAnsi"/>
          <w:bCs/>
          <w:position w:val="2"/>
        </w:rPr>
        <w:t>was</w:t>
      </w:r>
      <w:r w:rsidR="00BC2504" w:rsidRPr="00DA0EE6">
        <w:rPr>
          <w:rFonts w:asciiTheme="minorHAnsi" w:hAnsiTheme="minorHAnsi" w:cstheme="minorHAnsi"/>
          <w:bCs/>
          <w:position w:val="2"/>
        </w:rPr>
        <w:t xml:space="preserve"> </w:t>
      </w:r>
      <w:r w:rsidRPr="00DA0EE6">
        <w:rPr>
          <w:rFonts w:asciiTheme="minorHAnsi" w:hAnsiTheme="minorHAnsi" w:cstheme="minorHAnsi"/>
          <w:bCs/>
          <w:position w:val="2"/>
        </w:rPr>
        <w:t>above</w:t>
      </w:r>
      <w:r w:rsidR="00BC2504" w:rsidRPr="00DA0EE6">
        <w:rPr>
          <w:rFonts w:asciiTheme="minorHAnsi" w:hAnsiTheme="minorHAnsi" w:cstheme="minorHAnsi"/>
          <w:bCs/>
          <w:position w:val="2"/>
        </w:rPr>
        <w:t xml:space="preserve"> </w:t>
      </w:r>
      <w:r w:rsidRPr="00DA0EE6">
        <w:rPr>
          <w:rFonts w:asciiTheme="minorHAnsi" w:hAnsiTheme="minorHAnsi" w:cstheme="minorHAnsi"/>
          <w:bCs/>
          <w:position w:val="2"/>
        </w:rPr>
        <w:t>F</w:t>
      </w:r>
      <w:r w:rsidRPr="00DA0EE6">
        <w:rPr>
          <w:rFonts w:asciiTheme="minorHAnsi" w:hAnsiTheme="minorHAnsi" w:cstheme="minorHAnsi"/>
          <w:bCs/>
          <w:vertAlign w:val="subscript"/>
        </w:rPr>
        <w:t>MSY</w:t>
      </w:r>
      <w:r w:rsidRPr="00DA0EE6">
        <w:rPr>
          <w:rFonts w:asciiTheme="minorHAnsi" w:hAnsiTheme="minorHAnsi" w:cstheme="minorHAnsi"/>
          <w:bCs/>
          <w:position w:val="2"/>
        </w:rPr>
        <w:t xml:space="preserve">. </w:t>
      </w:r>
    </w:p>
    <w:p w14:paraId="19520592"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7AAC7E9D"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color w:val="222222"/>
          <w:shd w:val="clear" w:color="auto" w:fill="FFFFFF"/>
        </w:rPr>
        <w:t xml:space="preserve">SC16 </w:t>
      </w:r>
      <w:r w:rsidRPr="00DA0EE6">
        <w:rPr>
          <w:rFonts w:asciiTheme="minorHAnsi" w:hAnsiTheme="minorHAnsi" w:cstheme="minorHAnsi"/>
          <w:bCs/>
        </w:rPr>
        <w:t>noted</w:t>
      </w:r>
      <w:r w:rsidRPr="00DA0EE6">
        <w:rPr>
          <w:rFonts w:asciiTheme="minorHAnsi" w:hAnsiTheme="minorHAnsi" w:cstheme="minorHAnsi"/>
          <w:shd w:val="clear" w:color="auto" w:fill="FFFFFF"/>
        </w:rPr>
        <w:t xml:space="preserve"> the results of stochastic projections (Figure YFT-11) from the 2020 assessment </w:t>
      </w:r>
      <w:r w:rsidRPr="00DA0EE6">
        <w:rPr>
          <w:rFonts w:asciiTheme="minorHAnsi" w:hAnsiTheme="minorHAnsi" w:cstheme="minorHAnsi"/>
        </w:rPr>
        <w:t>which</w:t>
      </w:r>
      <w:r w:rsidRPr="00DA0EE6">
        <w:rPr>
          <w:rFonts w:asciiTheme="minorHAnsi" w:hAnsiTheme="minorHAnsi" w:cstheme="minorHAnsi"/>
          <w:shd w:val="clear" w:color="auto" w:fill="FFFFFF"/>
        </w:rPr>
        <w:t xml:space="preserve"> indicated the potential stock consequences of ﬁshing at “status quo” conditions (2016–2018 average longline and other fishery catch and 2018 purse seine effort levels) and long-term recruitment scenario using the uncertainty framework approach endorsed by SC. Projections indicate that median </w:t>
      </w:r>
      <w:r w:rsidRPr="00DA0EE6">
        <w:rPr>
          <w:rFonts w:asciiTheme="minorHAnsi" w:hAnsiTheme="minorHAnsi" w:cstheme="minorHAnsi"/>
          <w:shd w:val="clear" w:color="auto" w:fill="FFFFFF"/>
        </w:rPr>
        <w:lastRenderedPageBreak/>
        <w:t>SB</w:t>
      </w:r>
      <w:r w:rsidRPr="00DA0EE6">
        <w:rPr>
          <w:rFonts w:asciiTheme="minorHAnsi" w:hAnsiTheme="minorHAnsi" w:cstheme="minorHAnsi"/>
          <w:shd w:val="clear" w:color="auto" w:fill="FFFFFF"/>
          <w:vertAlign w:val="subscript"/>
        </w:rPr>
        <w:t>2025</w:t>
      </w:r>
      <w:r w:rsidRPr="00DA0EE6">
        <w:rPr>
          <w:rFonts w:asciiTheme="minorHAnsi" w:hAnsiTheme="minorHAnsi" w:cstheme="minorHAnsi"/>
          <w:shd w:val="clear" w:color="auto" w:fill="FFFFFF"/>
        </w:rPr>
        <w:t>/SB</w:t>
      </w:r>
      <w:r w:rsidRPr="00DA0EE6">
        <w:rPr>
          <w:rFonts w:asciiTheme="minorHAnsi" w:hAnsiTheme="minorHAnsi" w:cstheme="minorHAnsi"/>
          <w:shd w:val="clear" w:color="auto" w:fill="FFFFFF"/>
          <w:vertAlign w:val="subscript"/>
        </w:rPr>
        <w:t>F=0</w:t>
      </w:r>
      <w:r w:rsidRPr="00DA0EE6">
        <w:rPr>
          <w:rFonts w:asciiTheme="minorHAnsi" w:hAnsiTheme="minorHAnsi" w:cstheme="minorHAnsi"/>
          <w:shd w:val="clear" w:color="auto" w:fill="FFFFFF"/>
        </w:rPr>
        <w:t> = 0.58; median SB</w:t>
      </w:r>
      <w:r w:rsidRPr="00DA0EE6">
        <w:rPr>
          <w:rFonts w:asciiTheme="minorHAnsi" w:hAnsiTheme="minorHAnsi" w:cstheme="minorHAnsi"/>
          <w:shd w:val="clear" w:color="auto" w:fill="FFFFFF"/>
          <w:vertAlign w:val="subscript"/>
        </w:rPr>
        <w:t>2035</w:t>
      </w:r>
      <w:r w:rsidRPr="00DA0EE6">
        <w:rPr>
          <w:rFonts w:asciiTheme="minorHAnsi" w:hAnsiTheme="minorHAnsi" w:cstheme="minorHAnsi"/>
          <w:shd w:val="clear" w:color="auto" w:fill="FFFFFF"/>
        </w:rPr>
        <w:t>/SB</w:t>
      </w:r>
      <w:r w:rsidRPr="00DA0EE6">
        <w:rPr>
          <w:rFonts w:asciiTheme="minorHAnsi" w:hAnsiTheme="minorHAnsi" w:cstheme="minorHAnsi"/>
          <w:shd w:val="clear" w:color="auto" w:fill="FFFFFF"/>
          <w:vertAlign w:val="subscript"/>
        </w:rPr>
        <w:t>F=0</w:t>
      </w:r>
      <w:r w:rsidRPr="00DA0EE6">
        <w:rPr>
          <w:rFonts w:asciiTheme="minorHAnsi" w:hAnsiTheme="minorHAnsi" w:cstheme="minorHAnsi"/>
          <w:shd w:val="clear" w:color="auto" w:fill="FFFFFF"/>
        </w:rPr>
        <w:t> = 0.59 and median SB</w:t>
      </w:r>
      <w:r w:rsidRPr="00DA0EE6">
        <w:rPr>
          <w:rFonts w:asciiTheme="minorHAnsi" w:hAnsiTheme="minorHAnsi" w:cstheme="minorHAnsi"/>
          <w:shd w:val="clear" w:color="auto" w:fill="FFFFFF"/>
          <w:vertAlign w:val="subscript"/>
        </w:rPr>
        <w:t>2045</w:t>
      </w:r>
      <w:r w:rsidRPr="00DA0EE6">
        <w:rPr>
          <w:rFonts w:asciiTheme="minorHAnsi" w:hAnsiTheme="minorHAnsi" w:cstheme="minorHAnsi"/>
          <w:shd w:val="clear" w:color="auto" w:fill="FFFFFF"/>
        </w:rPr>
        <w:t>/SB</w:t>
      </w:r>
      <w:r w:rsidRPr="00DA0EE6">
        <w:rPr>
          <w:rFonts w:asciiTheme="minorHAnsi" w:hAnsiTheme="minorHAnsi" w:cstheme="minorHAnsi"/>
          <w:shd w:val="clear" w:color="auto" w:fill="FFFFFF"/>
          <w:vertAlign w:val="subscript"/>
        </w:rPr>
        <w:t>F=0</w:t>
      </w:r>
      <w:r w:rsidRPr="00DA0EE6">
        <w:rPr>
          <w:rFonts w:asciiTheme="minorHAnsi" w:hAnsiTheme="minorHAnsi" w:cstheme="minorHAnsi"/>
          <w:shd w:val="clear" w:color="auto" w:fill="FFFFFF"/>
        </w:rPr>
        <w:t> = 0.58. The risk that SB</w:t>
      </w:r>
      <w:r w:rsidRPr="00DA0EE6">
        <w:rPr>
          <w:rFonts w:asciiTheme="minorHAnsi" w:hAnsiTheme="minorHAnsi" w:cstheme="minorHAnsi"/>
          <w:shd w:val="clear" w:color="auto" w:fill="FFFFFF"/>
          <w:vertAlign w:val="subscript"/>
        </w:rPr>
        <w:t>2048</w:t>
      </w:r>
      <w:r w:rsidRPr="00DA0EE6">
        <w:rPr>
          <w:rFonts w:asciiTheme="minorHAnsi" w:hAnsiTheme="minorHAnsi" w:cstheme="minorHAnsi"/>
          <w:shd w:val="clear" w:color="auto" w:fill="FFFFFF"/>
        </w:rPr>
        <w:t>/SB</w:t>
      </w:r>
      <w:r w:rsidRPr="00DA0EE6">
        <w:rPr>
          <w:rFonts w:asciiTheme="minorHAnsi" w:hAnsiTheme="minorHAnsi" w:cstheme="minorHAnsi"/>
          <w:shd w:val="clear" w:color="auto" w:fill="FFFFFF"/>
          <w:vertAlign w:val="subscript"/>
        </w:rPr>
        <w:t>F=0</w:t>
      </w:r>
      <w:r w:rsidRPr="00DA0EE6">
        <w:rPr>
          <w:rFonts w:asciiTheme="minorHAnsi" w:hAnsiTheme="minorHAnsi" w:cstheme="minorHAnsi"/>
          <w:shd w:val="clear" w:color="auto" w:fill="FFFFFF"/>
        </w:rPr>
        <w:t> is less than the Limit Reference Point is 0%. </w:t>
      </w:r>
    </w:p>
    <w:p w14:paraId="46823F4D"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0DC346F7" w14:textId="77777777" w:rsidR="009C236C" w:rsidRPr="00DA0EE6" w:rsidRDefault="009C236C" w:rsidP="00BC2504">
      <w:pPr>
        <w:pStyle w:val="ListParagraph"/>
        <w:widowControl/>
        <w:numPr>
          <w:ilvl w:val="0"/>
          <w:numId w:val="14"/>
        </w:numPr>
        <w:kinsoku w:val="0"/>
        <w:overflowPunct w:val="0"/>
        <w:adjustRightInd w:val="0"/>
        <w:snapToGrid w:val="0"/>
        <w:ind w:left="0" w:firstLine="0"/>
        <w:jc w:val="both"/>
        <w:rPr>
          <w:rFonts w:asciiTheme="minorHAnsi" w:eastAsia="Batang" w:hAnsiTheme="minorHAnsi" w:cstheme="minorHAnsi"/>
          <w:b/>
          <w:bCs/>
          <w:lang w:eastAsia="ko-KR"/>
        </w:rPr>
      </w:pPr>
      <w:r w:rsidRPr="00DA0EE6">
        <w:rPr>
          <w:rFonts w:asciiTheme="minorHAnsi" w:eastAsia="Batang" w:hAnsiTheme="minorHAnsi" w:cstheme="minorHAnsi"/>
          <w:b/>
          <w:bCs/>
          <w:lang w:eastAsia="ko-KR"/>
        </w:rPr>
        <w:t xml:space="preserve">Management advice and implications </w:t>
      </w:r>
    </w:p>
    <w:p w14:paraId="17862AFA" w14:textId="77777777" w:rsidR="009C236C" w:rsidRPr="00DA0EE6" w:rsidRDefault="009C236C" w:rsidP="00BC2504">
      <w:pPr>
        <w:adjustRightInd w:val="0"/>
        <w:snapToGrid w:val="0"/>
        <w:spacing w:after="0" w:line="240" w:lineRule="auto"/>
        <w:jc w:val="both"/>
        <w:rPr>
          <w:rFonts w:cstheme="minorHAnsi"/>
        </w:rPr>
      </w:pPr>
    </w:p>
    <w:p w14:paraId="112B89F9" w14:textId="328A8C92" w:rsidR="009C236C" w:rsidRPr="00DA0EE6" w:rsidRDefault="009C236C" w:rsidP="00BC2504">
      <w:pPr>
        <w:pStyle w:val="WCPFC"/>
        <w:adjustRightInd w:val="0"/>
        <w:spacing w:after="0"/>
        <w:ind w:left="0" w:firstLine="0"/>
        <w:rPr>
          <w:rFonts w:asciiTheme="minorHAnsi" w:hAnsiTheme="minorHAnsi" w:cstheme="minorHAnsi"/>
        </w:rPr>
      </w:pPr>
      <w:r w:rsidRPr="00DA0EE6">
        <w:rPr>
          <w:rFonts w:asciiTheme="minorHAnsi" w:hAnsiTheme="minorHAnsi" w:cstheme="minorHAnsi"/>
        </w:rPr>
        <w:t xml:space="preserve">SC16 </w:t>
      </w:r>
      <w:r w:rsidRPr="00DA0EE6">
        <w:rPr>
          <w:rFonts w:asciiTheme="minorHAnsi" w:hAnsiTheme="minorHAnsi" w:cstheme="minorHAnsi"/>
          <w:bCs/>
        </w:rPr>
        <w:t>noted</w:t>
      </w:r>
      <w:r w:rsidR="000B35A6" w:rsidRPr="00DA0EE6">
        <w:rPr>
          <w:rFonts w:asciiTheme="minorHAnsi" w:hAnsiTheme="minorHAnsi" w:cstheme="minorHAnsi"/>
          <w:bCs/>
        </w:rPr>
        <w:t xml:space="preserve"> </w:t>
      </w:r>
      <w:r w:rsidRPr="00DA0EE6">
        <w:rPr>
          <w:rFonts w:asciiTheme="minorHAnsi" w:hAnsiTheme="minorHAnsi" w:cstheme="minorHAnsi"/>
          <w:bCs/>
        </w:rPr>
        <w:t>that</w:t>
      </w:r>
      <w:r w:rsidR="000B35A6" w:rsidRPr="00DA0EE6">
        <w:rPr>
          <w:rFonts w:asciiTheme="minorHAnsi" w:hAnsiTheme="minorHAnsi" w:cstheme="minorHAnsi"/>
          <w:bCs/>
        </w:rPr>
        <w:t xml:space="preserve"> </w:t>
      </w:r>
      <w:r w:rsidRPr="00DA0EE6">
        <w:rPr>
          <w:rFonts w:asciiTheme="minorHAnsi" w:hAnsiTheme="minorHAnsi" w:cstheme="minorHAnsi"/>
          <w:bCs/>
        </w:rPr>
        <w:t>the</w:t>
      </w:r>
      <w:r w:rsidR="000B35A6" w:rsidRPr="00DA0EE6">
        <w:rPr>
          <w:rFonts w:asciiTheme="minorHAnsi" w:hAnsiTheme="minorHAnsi" w:cstheme="minorHAnsi"/>
          <w:bCs/>
        </w:rPr>
        <w:t xml:space="preserve"> </w:t>
      </w:r>
      <w:r w:rsidRPr="00DA0EE6">
        <w:rPr>
          <w:rFonts w:asciiTheme="minorHAnsi" w:hAnsiTheme="minorHAnsi" w:cstheme="minorHAnsi"/>
          <w:bCs/>
        </w:rPr>
        <w:t>preliminary</w:t>
      </w:r>
      <w:r w:rsidR="000B35A6" w:rsidRPr="00DA0EE6">
        <w:rPr>
          <w:rFonts w:asciiTheme="minorHAnsi" w:hAnsiTheme="minorHAnsi" w:cstheme="minorHAnsi"/>
          <w:bCs/>
        </w:rPr>
        <w:t xml:space="preserve"> </w:t>
      </w:r>
      <w:r w:rsidRPr="00DA0EE6">
        <w:rPr>
          <w:rFonts w:asciiTheme="minorHAnsi" w:hAnsiTheme="minorHAnsi" w:cstheme="minorHAnsi"/>
          <w:bCs/>
        </w:rPr>
        <w:t>estimate</w:t>
      </w:r>
      <w:r w:rsidR="000B35A6" w:rsidRPr="00DA0EE6">
        <w:rPr>
          <w:rFonts w:asciiTheme="minorHAnsi" w:hAnsiTheme="minorHAnsi" w:cstheme="minorHAnsi"/>
          <w:bCs/>
        </w:rPr>
        <w:t xml:space="preserve"> </w:t>
      </w:r>
      <w:r w:rsidRPr="00DA0EE6">
        <w:rPr>
          <w:rFonts w:asciiTheme="minorHAnsi" w:hAnsiTheme="minorHAnsi" w:cstheme="minorHAnsi"/>
          <w:bCs/>
        </w:rPr>
        <w:t>of</w:t>
      </w:r>
      <w:r w:rsidR="000B35A6" w:rsidRPr="00DA0EE6">
        <w:rPr>
          <w:rFonts w:asciiTheme="minorHAnsi" w:hAnsiTheme="minorHAnsi" w:cstheme="minorHAnsi"/>
          <w:bCs/>
        </w:rPr>
        <w:t xml:space="preserve"> </w:t>
      </w:r>
      <w:r w:rsidRPr="00DA0EE6">
        <w:rPr>
          <w:rFonts w:asciiTheme="minorHAnsi" w:hAnsiTheme="minorHAnsi" w:cstheme="minorHAnsi"/>
          <w:bCs/>
        </w:rPr>
        <w:t>total</w:t>
      </w:r>
      <w:r w:rsidR="000B35A6" w:rsidRPr="00DA0EE6">
        <w:rPr>
          <w:rFonts w:asciiTheme="minorHAnsi" w:hAnsiTheme="minorHAnsi" w:cstheme="minorHAnsi"/>
          <w:bCs/>
        </w:rPr>
        <w:t xml:space="preserve"> </w:t>
      </w:r>
      <w:r w:rsidRPr="00DA0EE6">
        <w:rPr>
          <w:rFonts w:asciiTheme="minorHAnsi" w:hAnsiTheme="minorHAnsi" w:cstheme="minorHAnsi"/>
          <w:bCs/>
        </w:rPr>
        <w:t>catch</w:t>
      </w:r>
      <w:r w:rsidR="000B35A6" w:rsidRPr="00DA0EE6">
        <w:rPr>
          <w:rFonts w:asciiTheme="minorHAnsi" w:hAnsiTheme="minorHAnsi" w:cstheme="minorHAnsi"/>
          <w:bCs/>
        </w:rPr>
        <w:t xml:space="preserve"> </w:t>
      </w:r>
      <w:r w:rsidRPr="00DA0EE6">
        <w:rPr>
          <w:rFonts w:asciiTheme="minorHAnsi" w:hAnsiTheme="minorHAnsi" w:cstheme="minorHAnsi"/>
          <w:bCs/>
        </w:rPr>
        <w:t>of</w:t>
      </w:r>
      <w:r w:rsidR="000B35A6" w:rsidRPr="00DA0EE6">
        <w:rPr>
          <w:rFonts w:asciiTheme="minorHAnsi" w:hAnsiTheme="minorHAnsi" w:cstheme="minorHAnsi"/>
          <w:bCs/>
        </w:rPr>
        <w:t xml:space="preserve"> </w:t>
      </w:r>
      <w:r w:rsidRPr="00DA0EE6">
        <w:rPr>
          <w:rFonts w:asciiTheme="minorHAnsi" w:hAnsiTheme="minorHAnsi" w:cstheme="minorHAnsi"/>
          <w:bCs/>
        </w:rPr>
        <w:t>WCPO yellowfin tuna</w:t>
      </w:r>
      <w:r w:rsidR="000B35A6" w:rsidRPr="00DA0EE6">
        <w:rPr>
          <w:rFonts w:asciiTheme="minorHAnsi" w:hAnsiTheme="minorHAnsi" w:cstheme="minorHAnsi"/>
          <w:bCs/>
        </w:rPr>
        <w:t xml:space="preserve"> </w:t>
      </w:r>
      <w:r w:rsidRPr="00DA0EE6">
        <w:rPr>
          <w:rFonts w:asciiTheme="minorHAnsi" w:hAnsiTheme="minorHAnsi" w:cstheme="minorHAnsi"/>
          <w:bCs/>
        </w:rPr>
        <w:t xml:space="preserve">for 2019 </w:t>
      </w:r>
      <w:r w:rsidRPr="00DA0EE6">
        <w:rPr>
          <w:rFonts w:asciiTheme="minorHAnsi" w:hAnsiTheme="minorHAnsi" w:cstheme="minorHAnsi"/>
        </w:rPr>
        <w:t xml:space="preserve">was 669,362 t, a 5% decrease from 2018 and a 1% increase from the average 2014-2018. Purse seine catch in </w:t>
      </w:r>
      <w:r w:rsidRPr="00DA0EE6">
        <w:rPr>
          <w:rFonts w:asciiTheme="minorHAnsi" w:hAnsiTheme="minorHAnsi" w:cstheme="minorHAnsi"/>
          <w:bCs/>
        </w:rPr>
        <w:t>2019</w:t>
      </w:r>
      <w:r w:rsidRPr="00DA0EE6">
        <w:rPr>
          <w:rFonts w:asciiTheme="minorHAnsi" w:hAnsiTheme="minorHAnsi" w:cstheme="minorHAnsi"/>
        </w:rPr>
        <w:t xml:space="preserve"> (364,571 t) was a 4% decrease from 2018 and an 8% decrease from the 2014-2018 average. Longline catch in 2019 (104,440 t) was a 7% increase from 2018 and a 9% increase from the 2014-2018 average. Pole and line catch (37,563 t) was a 43% increase from 2018 and a 40% increase from the average 2014-2018 catch. Catch by other gear totalled 162,788 t and was an 18% decrease from 2018 and a 16% increase from the average catch in 2014-2018.</w:t>
      </w:r>
    </w:p>
    <w:p w14:paraId="4E58BE11" w14:textId="77777777" w:rsidR="009C236C" w:rsidRPr="00DA0EE6" w:rsidRDefault="009C236C" w:rsidP="00BC2504">
      <w:pPr>
        <w:pStyle w:val="WCPFC"/>
        <w:numPr>
          <w:ilvl w:val="0"/>
          <w:numId w:val="0"/>
        </w:numPr>
        <w:adjustRightInd w:val="0"/>
        <w:spacing w:after="0"/>
        <w:rPr>
          <w:rFonts w:asciiTheme="minorHAnsi" w:hAnsiTheme="minorHAnsi" w:cstheme="minorHAnsi"/>
        </w:rPr>
      </w:pPr>
    </w:p>
    <w:p w14:paraId="3D807D40" w14:textId="77777777" w:rsidR="009C236C" w:rsidRPr="00DA0EE6" w:rsidRDefault="009C236C" w:rsidP="00BC2504">
      <w:pPr>
        <w:pStyle w:val="WCPFC"/>
        <w:adjustRightInd w:val="0"/>
        <w:spacing w:after="0"/>
        <w:ind w:left="0" w:firstLine="0"/>
        <w:rPr>
          <w:rFonts w:asciiTheme="minorHAnsi" w:hAnsiTheme="minorHAnsi" w:cstheme="minorHAnsi"/>
        </w:rPr>
      </w:pPr>
      <w:r w:rsidRPr="00DA0EE6">
        <w:rPr>
          <w:rFonts w:asciiTheme="minorHAnsi" w:hAnsiTheme="minorHAnsi" w:cstheme="minorHAnsi"/>
        </w:rPr>
        <w:t xml:space="preserve">SC16 noted that the median catch in the last year of the assessment (2018) was 711,072 </w:t>
      </w:r>
      <w:proofErr w:type="spellStart"/>
      <w:r w:rsidRPr="00DA0EE6">
        <w:rPr>
          <w:rFonts w:asciiTheme="minorHAnsi" w:hAnsiTheme="minorHAnsi" w:cstheme="minorHAnsi"/>
        </w:rPr>
        <w:t>mt</w:t>
      </w:r>
      <w:proofErr w:type="spellEnd"/>
      <w:r w:rsidRPr="00DA0EE6">
        <w:rPr>
          <w:rFonts w:asciiTheme="minorHAnsi" w:hAnsiTheme="minorHAnsi" w:cstheme="minorHAnsi"/>
        </w:rPr>
        <w:t xml:space="preserve"> which was less than the median MSY (1,091,200 </w:t>
      </w:r>
      <w:proofErr w:type="spellStart"/>
      <w:r w:rsidRPr="00DA0EE6">
        <w:rPr>
          <w:rFonts w:asciiTheme="minorHAnsi" w:hAnsiTheme="minorHAnsi" w:cstheme="minorHAnsi"/>
        </w:rPr>
        <w:t>mt</w:t>
      </w:r>
      <w:proofErr w:type="spellEnd"/>
      <w:r w:rsidRPr="00DA0EE6">
        <w:rPr>
          <w:rFonts w:asciiTheme="minorHAnsi" w:hAnsiTheme="minorHAnsi" w:cstheme="minorHAnsi"/>
        </w:rPr>
        <w:t>).</w:t>
      </w:r>
    </w:p>
    <w:p w14:paraId="0551C962" w14:textId="77777777" w:rsidR="009C236C" w:rsidRPr="00DA0EE6" w:rsidRDefault="009C236C" w:rsidP="00BC2504">
      <w:pPr>
        <w:pStyle w:val="WCPFC"/>
        <w:numPr>
          <w:ilvl w:val="0"/>
          <w:numId w:val="0"/>
        </w:numPr>
        <w:adjustRightInd w:val="0"/>
        <w:spacing w:after="0"/>
        <w:rPr>
          <w:rFonts w:asciiTheme="minorHAnsi" w:hAnsiTheme="minorHAnsi" w:cstheme="minorHAnsi"/>
        </w:rPr>
      </w:pPr>
    </w:p>
    <w:p w14:paraId="2DA772DE" w14:textId="4A2908FF"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Based</w:t>
      </w:r>
      <w:r w:rsidR="000B35A6" w:rsidRPr="00DA0EE6">
        <w:rPr>
          <w:rFonts w:asciiTheme="minorHAnsi" w:hAnsiTheme="minorHAnsi" w:cstheme="minorHAnsi"/>
          <w:bCs/>
        </w:rPr>
        <w:t xml:space="preserve"> </w:t>
      </w:r>
      <w:r w:rsidRPr="00DA0EE6">
        <w:rPr>
          <w:rFonts w:asciiTheme="minorHAnsi" w:hAnsiTheme="minorHAnsi" w:cstheme="minorHAnsi"/>
        </w:rPr>
        <w:t>on</w:t>
      </w:r>
      <w:r w:rsidR="000B35A6" w:rsidRPr="00DA0EE6">
        <w:rPr>
          <w:rFonts w:asciiTheme="minorHAnsi" w:hAnsiTheme="minorHAnsi" w:cstheme="minorHAnsi"/>
        </w:rPr>
        <w:t xml:space="preserve"> </w:t>
      </w:r>
      <w:r w:rsidRPr="00DA0EE6">
        <w:rPr>
          <w:rFonts w:asciiTheme="minorHAnsi" w:hAnsiTheme="minorHAnsi" w:cstheme="minorHAnsi"/>
          <w:bCs/>
        </w:rPr>
        <w:t>the</w:t>
      </w:r>
      <w:r w:rsidR="000B35A6" w:rsidRPr="00DA0EE6">
        <w:rPr>
          <w:rFonts w:asciiTheme="minorHAnsi" w:hAnsiTheme="minorHAnsi" w:cstheme="minorHAnsi"/>
          <w:bCs/>
        </w:rPr>
        <w:t xml:space="preserve"> </w:t>
      </w:r>
      <w:r w:rsidRPr="00DA0EE6">
        <w:rPr>
          <w:rFonts w:asciiTheme="minorHAnsi" w:hAnsiTheme="minorHAnsi" w:cstheme="minorHAnsi"/>
          <w:bCs/>
        </w:rPr>
        <w:t>uncertainty</w:t>
      </w:r>
      <w:r w:rsidR="000B35A6" w:rsidRPr="00DA0EE6">
        <w:rPr>
          <w:rFonts w:asciiTheme="minorHAnsi" w:hAnsiTheme="minorHAnsi" w:cstheme="minorHAnsi"/>
          <w:bCs/>
        </w:rPr>
        <w:t xml:space="preserve"> </w:t>
      </w:r>
      <w:r w:rsidRPr="00DA0EE6">
        <w:rPr>
          <w:rFonts w:asciiTheme="minorHAnsi" w:hAnsiTheme="minorHAnsi" w:cstheme="minorHAnsi"/>
          <w:bCs/>
        </w:rPr>
        <w:t>grid</w:t>
      </w:r>
      <w:r w:rsidR="000B35A6" w:rsidRPr="00DA0EE6">
        <w:rPr>
          <w:rFonts w:asciiTheme="minorHAnsi" w:hAnsiTheme="minorHAnsi" w:cstheme="minorHAnsi"/>
          <w:bCs/>
        </w:rPr>
        <w:t xml:space="preserve"> </w:t>
      </w:r>
      <w:r w:rsidRPr="00DA0EE6">
        <w:rPr>
          <w:rFonts w:asciiTheme="minorHAnsi" w:hAnsiTheme="minorHAnsi" w:cstheme="minorHAnsi"/>
          <w:bCs/>
        </w:rPr>
        <w:t>adopted</w:t>
      </w:r>
      <w:r w:rsidR="000B35A6" w:rsidRPr="00DA0EE6">
        <w:rPr>
          <w:rFonts w:asciiTheme="minorHAnsi" w:hAnsiTheme="minorHAnsi" w:cstheme="minorHAnsi"/>
          <w:bCs/>
        </w:rPr>
        <w:t xml:space="preserve"> </w:t>
      </w:r>
      <w:r w:rsidRPr="00DA0EE6">
        <w:rPr>
          <w:rFonts w:asciiTheme="minorHAnsi" w:hAnsiTheme="minorHAnsi" w:cstheme="minorHAnsi"/>
          <w:bCs/>
        </w:rPr>
        <w:t>by</w:t>
      </w:r>
      <w:r w:rsidR="000B35A6" w:rsidRPr="00DA0EE6">
        <w:rPr>
          <w:rFonts w:asciiTheme="minorHAnsi" w:hAnsiTheme="minorHAnsi" w:cstheme="minorHAnsi"/>
          <w:bCs/>
        </w:rPr>
        <w:t xml:space="preserve"> </w:t>
      </w:r>
      <w:r w:rsidRPr="00DA0EE6">
        <w:rPr>
          <w:rFonts w:asciiTheme="minorHAnsi" w:hAnsiTheme="minorHAnsi" w:cstheme="minorHAnsi"/>
          <w:bCs/>
        </w:rPr>
        <w:t>SC16,</w:t>
      </w:r>
      <w:r w:rsidR="000B35A6" w:rsidRPr="00DA0EE6">
        <w:rPr>
          <w:rFonts w:asciiTheme="minorHAnsi" w:hAnsiTheme="minorHAnsi" w:cstheme="minorHAnsi"/>
          <w:bCs/>
        </w:rPr>
        <w:t xml:space="preserve"> </w:t>
      </w:r>
      <w:r w:rsidRPr="00DA0EE6">
        <w:rPr>
          <w:rFonts w:asciiTheme="minorHAnsi" w:hAnsiTheme="minorHAnsi" w:cstheme="minorHAnsi"/>
          <w:bCs/>
        </w:rPr>
        <w:t>the</w:t>
      </w:r>
      <w:r w:rsidR="000B35A6" w:rsidRPr="00DA0EE6">
        <w:rPr>
          <w:rFonts w:asciiTheme="minorHAnsi" w:hAnsiTheme="minorHAnsi" w:cstheme="minorHAnsi"/>
          <w:bCs/>
        </w:rPr>
        <w:t xml:space="preserve"> </w:t>
      </w:r>
      <w:r w:rsidRPr="00DA0EE6">
        <w:rPr>
          <w:rFonts w:asciiTheme="minorHAnsi" w:hAnsiTheme="minorHAnsi" w:cstheme="minorHAnsi"/>
          <w:bCs/>
        </w:rPr>
        <w:t>WCPO</w:t>
      </w:r>
      <w:r w:rsidR="000B35A6" w:rsidRPr="00DA0EE6">
        <w:rPr>
          <w:rFonts w:asciiTheme="minorHAnsi" w:hAnsiTheme="minorHAnsi" w:cstheme="minorHAnsi"/>
          <w:bCs/>
        </w:rPr>
        <w:t xml:space="preserve"> </w:t>
      </w:r>
      <w:r w:rsidRPr="00DA0EE6">
        <w:rPr>
          <w:rFonts w:asciiTheme="minorHAnsi" w:hAnsiTheme="minorHAnsi" w:cstheme="minorHAnsi"/>
          <w:bCs/>
        </w:rPr>
        <w:t>yellowfin</w:t>
      </w:r>
      <w:r w:rsidR="000B35A6" w:rsidRPr="00DA0EE6">
        <w:rPr>
          <w:rFonts w:asciiTheme="minorHAnsi" w:hAnsiTheme="minorHAnsi" w:cstheme="minorHAnsi"/>
          <w:bCs/>
        </w:rPr>
        <w:t xml:space="preserve"> </w:t>
      </w:r>
      <w:r w:rsidRPr="00DA0EE6">
        <w:rPr>
          <w:rFonts w:asciiTheme="minorHAnsi" w:hAnsiTheme="minorHAnsi" w:cstheme="minorHAnsi"/>
          <w:bCs/>
        </w:rPr>
        <w:t>tuna</w:t>
      </w:r>
      <w:r w:rsidR="000B35A6" w:rsidRPr="00DA0EE6">
        <w:rPr>
          <w:rFonts w:asciiTheme="minorHAnsi" w:hAnsiTheme="minorHAnsi" w:cstheme="minorHAnsi"/>
          <w:bCs/>
        </w:rPr>
        <w:t xml:space="preserve"> </w:t>
      </w:r>
      <w:r w:rsidRPr="00DA0EE6">
        <w:rPr>
          <w:rFonts w:asciiTheme="minorHAnsi" w:hAnsiTheme="minorHAnsi" w:cstheme="minorHAnsi"/>
          <w:bCs/>
        </w:rPr>
        <w:t>spawning</w:t>
      </w:r>
      <w:r w:rsidR="000B35A6" w:rsidRPr="00DA0EE6">
        <w:rPr>
          <w:rFonts w:asciiTheme="minorHAnsi" w:hAnsiTheme="minorHAnsi" w:cstheme="minorHAnsi"/>
          <w:bCs/>
        </w:rPr>
        <w:t xml:space="preserve"> </w:t>
      </w:r>
      <w:r w:rsidRPr="00DA0EE6">
        <w:rPr>
          <w:rFonts w:asciiTheme="minorHAnsi" w:hAnsiTheme="minorHAnsi" w:cstheme="minorHAnsi"/>
          <w:bCs/>
        </w:rPr>
        <w:t>biomass</w:t>
      </w:r>
      <w:r w:rsidR="000B35A6" w:rsidRPr="00DA0EE6">
        <w:rPr>
          <w:rFonts w:asciiTheme="minorHAnsi" w:hAnsiTheme="minorHAnsi" w:cstheme="minorHAnsi"/>
          <w:bCs/>
        </w:rPr>
        <w:t xml:space="preserve"> </w:t>
      </w:r>
      <w:r w:rsidRPr="00DA0EE6">
        <w:rPr>
          <w:rFonts w:asciiTheme="minorHAnsi" w:hAnsiTheme="minorHAnsi" w:cstheme="minorHAnsi"/>
          <w:bCs/>
        </w:rPr>
        <w:t xml:space="preserve">is </w:t>
      </w:r>
      <w:r w:rsidRPr="00DA0EE6">
        <w:rPr>
          <w:rFonts w:asciiTheme="minorHAnsi" w:hAnsiTheme="minorHAnsi" w:cstheme="minorHAnsi"/>
          <w:bCs/>
          <w:position w:val="2"/>
        </w:rPr>
        <w:t>above the biomass LRP and recent F is below F</w:t>
      </w:r>
      <w:r w:rsidRPr="00DA0EE6">
        <w:rPr>
          <w:rFonts w:asciiTheme="minorHAnsi" w:hAnsiTheme="minorHAnsi" w:cstheme="minorHAnsi"/>
          <w:bCs/>
          <w:vertAlign w:val="subscript"/>
        </w:rPr>
        <w:t>MSY</w:t>
      </w:r>
      <w:r w:rsidRPr="00DA0EE6">
        <w:rPr>
          <w:rFonts w:asciiTheme="minorHAnsi" w:hAnsiTheme="minorHAnsi" w:cstheme="minorHAnsi"/>
          <w:bCs/>
          <w:position w:val="2"/>
        </w:rPr>
        <w:t xml:space="preserve">. </w:t>
      </w:r>
      <w:r w:rsidRPr="00DA0EE6">
        <w:rPr>
          <w:rFonts w:asciiTheme="minorHAnsi" w:hAnsiTheme="minorHAnsi" w:cstheme="minorHAnsi"/>
          <w:bCs/>
        </w:rPr>
        <w:t>The</w:t>
      </w:r>
      <w:r w:rsidR="00A43F14" w:rsidRPr="00DA0EE6">
        <w:rPr>
          <w:rFonts w:asciiTheme="minorHAnsi" w:hAnsiTheme="minorHAnsi" w:cstheme="minorHAnsi"/>
          <w:bCs/>
        </w:rPr>
        <w:t xml:space="preserve"> </w:t>
      </w:r>
      <w:r w:rsidRPr="00DA0EE6">
        <w:rPr>
          <w:rFonts w:asciiTheme="minorHAnsi" w:hAnsiTheme="minorHAnsi" w:cstheme="minorHAnsi"/>
          <w:bCs/>
        </w:rPr>
        <w:t>stock</w:t>
      </w:r>
      <w:r w:rsidR="00A43F14" w:rsidRPr="00DA0EE6">
        <w:rPr>
          <w:rFonts w:asciiTheme="minorHAnsi" w:hAnsiTheme="minorHAnsi" w:cstheme="minorHAnsi"/>
          <w:bCs/>
        </w:rPr>
        <w:t xml:space="preserve"> </w:t>
      </w:r>
      <w:r w:rsidRPr="00DA0EE6">
        <w:rPr>
          <w:rFonts w:asciiTheme="minorHAnsi" w:hAnsiTheme="minorHAnsi" w:cstheme="minorHAnsi"/>
          <w:bCs/>
        </w:rPr>
        <w:t>is</w:t>
      </w:r>
      <w:r w:rsidR="00A43F14" w:rsidRPr="00DA0EE6">
        <w:rPr>
          <w:rFonts w:asciiTheme="minorHAnsi" w:hAnsiTheme="minorHAnsi" w:cstheme="minorHAnsi"/>
          <w:bCs/>
        </w:rPr>
        <w:t xml:space="preserve"> </w:t>
      </w:r>
      <w:r w:rsidRPr="00DA0EE6">
        <w:rPr>
          <w:rFonts w:asciiTheme="minorHAnsi" w:hAnsiTheme="minorHAnsi" w:cstheme="minorHAnsi"/>
          <w:bCs/>
        </w:rPr>
        <w:t>not</w:t>
      </w:r>
      <w:r w:rsidR="00A43F14" w:rsidRPr="00DA0EE6">
        <w:rPr>
          <w:rFonts w:asciiTheme="minorHAnsi" w:hAnsiTheme="minorHAnsi" w:cstheme="minorHAnsi"/>
          <w:bCs/>
        </w:rPr>
        <w:t xml:space="preserve"> </w:t>
      </w:r>
      <w:r w:rsidRPr="00DA0EE6">
        <w:rPr>
          <w:rFonts w:asciiTheme="minorHAnsi" w:hAnsiTheme="minorHAnsi" w:cstheme="minorHAnsi"/>
          <w:bCs/>
        </w:rPr>
        <w:t>experiencing</w:t>
      </w:r>
      <w:r w:rsidR="00A43F14" w:rsidRPr="00DA0EE6">
        <w:rPr>
          <w:rFonts w:asciiTheme="minorHAnsi" w:hAnsiTheme="minorHAnsi" w:cstheme="minorHAnsi"/>
          <w:bCs/>
        </w:rPr>
        <w:t xml:space="preserve"> </w:t>
      </w:r>
      <w:r w:rsidRPr="00DA0EE6">
        <w:rPr>
          <w:rFonts w:asciiTheme="minorHAnsi" w:hAnsiTheme="minorHAnsi" w:cstheme="minorHAnsi"/>
          <w:bCs/>
        </w:rPr>
        <w:t>overfishing</w:t>
      </w:r>
      <w:r w:rsidR="00A43F14" w:rsidRPr="00DA0EE6">
        <w:rPr>
          <w:rFonts w:asciiTheme="minorHAnsi" w:hAnsiTheme="minorHAnsi" w:cstheme="minorHAnsi"/>
          <w:bCs/>
        </w:rPr>
        <w:t xml:space="preserve"> </w:t>
      </w:r>
      <w:r w:rsidRPr="00DA0EE6">
        <w:rPr>
          <w:rFonts w:asciiTheme="minorHAnsi" w:hAnsiTheme="minorHAnsi" w:cstheme="minorHAnsi"/>
          <w:bCs/>
        </w:rPr>
        <w:t>(100% probability F&lt;F</w:t>
      </w:r>
      <w:r w:rsidRPr="00DA0EE6">
        <w:rPr>
          <w:rFonts w:asciiTheme="minorHAnsi" w:hAnsiTheme="minorHAnsi" w:cstheme="minorHAnsi"/>
          <w:bCs/>
          <w:vertAlign w:val="subscript"/>
        </w:rPr>
        <w:t>MSY</w:t>
      </w:r>
      <w:r w:rsidRPr="00DA0EE6">
        <w:rPr>
          <w:rFonts w:asciiTheme="minorHAnsi" w:hAnsiTheme="minorHAnsi" w:cstheme="minorHAnsi"/>
          <w:bCs/>
        </w:rPr>
        <w:t>) and is not in an overfished condition (0%probability SB/SB</w:t>
      </w:r>
      <w:r w:rsidRPr="00DA0EE6">
        <w:rPr>
          <w:rFonts w:asciiTheme="minorHAnsi" w:hAnsiTheme="minorHAnsi" w:cstheme="minorHAnsi"/>
          <w:bCs/>
          <w:vertAlign w:val="subscript"/>
        </w:rPr>
        <w:t>F=0</w:t>
      </w:r>
      <w:r w:rsidRPr="00DA0EE6">
        <w:rPr>
          <w:rFonts w:asciiTheme="minorHAnsi" w:hAnsiTheme="minorHAnsi" w:cstheme="minorHAnsi"/>
          <w:bCs/>
        </w:rPr>
        <w:t>&lt;LRP). Additionally, stochastic projections predict there to be no risk of breaching the LRP (0% probability SB</w:t>
      </w:r>
      <w:r w:rsidRPr="00DA0EE6">
        <w:rPr>
          <w:rFonts w:asciiTheme="minorHAnsi" w:hAnsiTheme="minorHAnsi" w:cstheme="minorHAnsi"/>
          <w:bCs/>
          <w:vertAlign w:val="subscript"/>
        </w:rPr>
        <w:t>2048</w:t>
      </w:r>
      <w:r w:rsidRPr="00DA0EE6">
        <w:rPr>
          <w:rFonts w:asciiTheme="minorHAnsi" w:hAnsiTheme="minorHAnsi" w:cstheme="minorHAnsi"/>
          <w:bCs/>
        </w:rPr>
        <w:t>/SB</w:t>
      </w:r>
      <w:r w:rsidRPr="00DA0EE6">
        <w:rPr>
          <w:rFonts w:asciiTheme="minorHAnsi" w:hAnsiTheme="minorHAnsi" w:cstheme="minorHAnsi"/>
          <w:bCs/>
          <w:vertAlign w:val="subscript"/>
        </w:rPr>
        <w:t>F=0</w:t>
      </w:r>
      <w:r w:rsidRPr="00DA0EE6">
        <w:rPr>
          <w:rFonts w:asciiTheme="minorHAnsi" w:hAnsiTheme="minorHAnsi" w:cstheme="minorHAnsi"/>
          <w:bCs/>
        </w:rPr>
        <w:t>&lt;LRP).</w:t>
      </w:r>
    </w:p>
    <w:p w14:paraId="0BEE8651"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58A398D5"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SC16 also noted that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There is also evidence that the overall stock status is buffered with biomass kept at a more elevated level overall by low exploitation in the temperate regions (1, 2, 5, 6, and 9). SC16 therefore re-iterates that WCPFC17 could consider measures to reduce fishing mortality from fisheries that take juveniles, with the goal to increase fishery yields and reduce any further impacts on the spawning potential for this stock in the tropical regions.</w:t>
      </w:r>
    </w:p>
    <w:p w14:paraId="172B0131" w14:textId="77777777" w:rsidR="009C236C" w:rsidRPr="00DA0EE6" w:rsidRDefault="009C236C" w:rsidP="00BC2504">
      <w:pPr>
        <w:pStyle w:val="ListParagraph"/>
        <w:adjustRightInd w:val="0"/>
        <w:snapToGrid w:val="0"/>
        <w:jc w:val="both"/>
        <w:rPr>
          <w:rFonts w:asciiTheme="minorHAnsi" w:hAnsiTheme="minorHAnsi" w:cstheme="minorHAnsi"/>
          <w:bCs/>
        </w:rPr>
      </w:pPr>
    </w:p>
    <w:p w14:paraId="67D97829"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SC16 noted that the 2020 stock assessment results indicate the stock is currently exploited at relatively low levels (median F/F</w:t>
      </w:r>
      <w:r w:rsidRPr="00DA0EE6">
        <w:rPr>
          <w:rFonts w:asciiTheme="minorHAnsi" w:hAnsiTheme="minorHAnsi" w:cstheme="minorHAnsi"/>
          <w:bCs/>
          <w:vertAlign w:val="subscript"/>
        </w:rPr>
        <w:t>MSY</w:t>
      </w:r>
      <w:r w:rsidRPr="00DA0EE6">
        <w:rPr>
          <w:rFonts w:asciiTheme="minorHAnsi" w:hAnsiTheme="minorHAnsi" w:cstheme="minorHAnsi"/>
          <w:bCs/>
        </w:rPr>
        <w:t xml:space="preserve"> = 0.36, 10</w:t>
      </w:r>
      <w:r w:rsidRPr="00DA0EE6">
        <w:rPr>
          <w:rFonts w:asciiTheme="minorHAnsi" w:hAnsiTheme="minorHAnsi" w:cstheme="minorHAnsi"/>
          <w:bCs/>
          <w:vertAlign w:val="superscript"/>
        </w:rPr>
        <w:t>th</w:t>
      </w:r>
      <w:r w:rsidRPr="00DA0EE6">
        <w:rPr>
          <w:rFonts w:asciiTheme="minorHAnsi" w:hAnsiTheme="minorHAnsi" w:cstheme="minorHAnsi"/>
          <w:bCs/>
        </w:rPr>
        <w:t xml:space="preserve"> to 90</w:t>
      </w:r>
      <w:r w:rsidRPr="00DA0EE6">
        <w:rPr>
          <w:rFonts w:asciiTheme="minorHAnsi" w:hAnsiTheme="minorHAnsi" w:cstheme="minorHAnsi"/>
          <w:bCs/>
          <w:vertAlign w:val="superscript"/>
        </w:rPr>
        <w:t>th</w:t>
      </w:r>
      <w:r w:rsidRPr="00DA0EE6">
        <w:rPr>
          <w:rFonts w:asciiTheme="minorHAnsi" w:hAnsiTheme="minorHAnsi" w:cstheme="minorHAnsi"/>
          <w:bCs/>
        </w:rPr>
        <w:t xml:space="preserve"> percentile interval 0.27-0.47). Nevertheless, SC16 recommends that the Commission notes that further increases in YFT fishing mortality would likely affect other stocks/species which are currently moderately exploited due to the multispecies/gears interactions in WCPFC fisheries taking YFT.</w:t>
      </w:r>
    </w:p>
    <w:p w14:paraId="1CE3A20D"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63CC8870"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 xml:space="preserve">SC16 also </w:t>
      </w:r>
      <w:r w:rsidRPr="00DA0EE6">
        <w:rPr>
          <w:rFonts w:asciiTheme="minorHAnsi" w:hAnsiTheme="minorHAnsi" w:cstheme="minorHAnsi"/>
        </w:rPr>
        <w:t>noted</w:t>
      </w:r>
      <w:r w:rsidRPr="00DA0EE6">
        <w:rPr>
          <w:rFonts w:asciiTheme="minorHAnsi" w:hAnsiTheme="minorHAnsi" w:cstheme="minorHAnsi"/>
          <w:bCs/>
        </w:rPr>
        <w:t xml:space="preserve"> that although the structural uncertainty grid presents a positive indication of stock status, the high level of unresolved conflict amongst the data inputs used in the assessment suggests additional caution may be appropriate when interpreting assessment outcomes to guide management decisions.</w:t>
      </w:r>
    </w:p>
    <w:p w14:paraId="389B27F9" w14:textId="77777777" w:rsidR="009C236C" w:rsidRPr="00DA0EE6" w:rsidRDefault="009C236C" w:rsidP="00BC2504">
      <w:pPr>
        <w:autoSpaceDE w:val="0"/>
        <w:autoSpaceDN w:val="0"/>
        <w:adjustRightInd w:val="0"/>
        <w:snapToGrid w:val="0"/>
        <w:spacing w:after="0" w:line="240" w:lineRule="auto"/>
        <w:jc w:val="both"/>
        <w:rPr>
          <w:rFonts w:cstheme="minorHAnsi"/>
          <w:bCs/>
        </w:rPr>
      </w:pPr>
    </w:p>
    <w:p w14:paraId="33595BE4" w14:textId="77777777" w:rsidR="009C236C" w:rsidRPr="00DA0EE6" w:rsidRDefault="009C236C" w:rsidP="00BC2504">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Based on those results, SC16 recommends as a precautionary approach that the fishing mortality on yellowfin tuna stock should not be increased from the level that maintains spawning biomass at 2012-2015 levels until the Commission can agree on an appropriate target reference point.</w:t>
      </w:r>
    </w:p>
    <w:p w14:paraId="06270AE8" w14:textId="77777777" w:rsidR="009C236C" w:rsidRPr="00DA0EE6" w:rsidRDefault="009C236C" w:rsidP="00BC2504">
      <w:pPr>
        <w:kinsoku w:val="0"/>
        <w:overflowPunct w:val="0"/>
        <w:autoSpaceDE w:val="0"/>
        <w:autoSpaceDN w:val="0"/>
        <w:adjustRightInd w:val="0"/>
        <w:snapToGrid w:val="0"/>
        <w:spacing w:after="0" w:line="240" w:lineRule="auto"/>
        <w:jc w:val="both"/>
        <w:rPr>
          <w:rFonts w:eastAsia="Batang" w:cstheme="minorHAnsi"/>
          <w:lang w:eastAsia="ko-KR"/>
        </w:rPr>
      </w:pPr>
    </w:p>
    <w:p w14:paraId="0D8EC7EF" w14:textId="77777777" w:rsidR="006375B6" w:rsidRPr="00DA0EE6" w:rsidRDefault="006375B6" w:rsidP="00BC2504">
      <w:pPr>
        <w:spacing w:after="0" w:line="240" w:lineRule="auto"/>
        <w:rPr>
          <w:rFonts w:cstheme="minorHAnsi"/>
        </w:rPr>
      </w:pPr>
    </w:p>
    <w:bookmarkEnd w:id="2"/>
    <w:p w14:paraId="253990BD" w14:textId="77777777" w:rsidR="00194EBD" w:rsidRPr="00DA0EE6" w:rsidRDefault="00194EBD">
      <w:pPr>
        <w:rPr>
          <w:rFonts w:eastAsiaTheme="majorEastAsia" w:cstheme="minorHAnsi"/>
          <w:color w:val="2F5496" w:themeColor="accent1" w:themeShade="BF"/>
          <w:sz w:val="32"/>
          <w:szCs w:val="32"/>
        </w:rPr>
      </w:pPr>
      <w:r w:rsidRPr="00DA0EE6">
        <w:rPr>
          <w:rFonts w:cstheme="minorHAnsi"/>
        </w:rPr>
        <w:br w:type="page"/>
      </w:r>
    </w:p>
    <w:p w14:paraId="1507BFB1" w14:textId="0496B8BB" w:rsidR="00493657" w:rsidRPr="00DA0EE6" w:rsidRDefault="00493657" w:rsidP="00167819">
      <w:pPr>
        <w:pStyle w:val="Heading1"/>
        <w:adjustRightInd w:val="0"/>
        <w:snapToGrid w:val="0"/>
        <w:spacing w:before="0" w:line="240" w:lineRule="auto"/>
        <w:rPr>
          <w:rFonts w:asciiTheme="minorHAnsi" w:hAnsiTheme="minorHAnsi" w:cstheme="minorHAnsi"/>
        </w:rPr>
      </w:pPr>
      <w:bookmarkStart w:id="3" w:name="_Toc159853629"/>
      <w:r w:rsidRPr="00DA0EE6">
        <w:rPr>
          <w:rFonts w:asciiTheme="minorHAnsi" w:hAnsiTheme="minorHAnsi" w:cstheme="minorHAnsi"/>
        </w:rPr>
        <w:lastRenderedPageBreak/>
        <w:t>SC15 2019 (FISHERY INDICATORS UPDATED)</w:t>
      </w:r>
      <w:bookmarkEnd w:id="3"/>
    </w:p>
    <w:p w14:paraId="6551AA69" w14:textId="77777777" w:rsidR="00493657" w:rsidRPr="00DA0EE6" w:rsidRDefault="00493657" w:rsidP="00167819">
      <w:pPr>
        <w:tabs>
          <w:tab w:val="left" w:pos="820"/>
        </w:tabs>
        <w:adjustRightInd w:val="0"/>
        <w:snapToGrid w:val="0"/>
        <w:spacing w:after="0" w:line="240" w:lineRule="auto"/>
        <w:rPr>
          <w:rFonts w:cstheme="minorHAnsi"/>
        </w:rPr>
      </w:pPr>
    </w:p>
    <w:p w14:paraId="60366D45" w14:textId="77777777" w:rsidR="00167819" w:rsidRPr="00DA0EE6" w:rsidRDefault="00167819" w:rsidP="00A43F14">
      <w:pPr>
        <w:pStyle w:val="ListParagraph"/>
        <w:widowControl/>
        <w:numPr>
          <w:ilvl w:val="0"/>
          <w:numId w:val="16"/>
        </w:numPr>
        <w:kinsoku w:val="0"/>
        <w:overflowPunct w:val="0"/>
        <w:adjustRightInd w:val="0"/>
        <w:snapToGrid w:val="0"/>
        <w:jc w:val="both"/>
        <w:rPr>
          <w:rFonts w:asciiTheme="minorHAnsi" w:hAnsiTheme="minorHAnsi" w:cstheme="minorHAnsi"/>
          <w:b/>
          <w:bCs/>
        </w:rPr>
      </w:pPr>
      <w:r w:rsidRPr="00DA0EE6">
        <w:rPr>
          <w:rFonts w:asciiTheme="minorHAnsi" w:hAnsiTheme="minorHAnsi" w:cstheme="minorHAnsi"/>
          <w:b/>
          <w:bCs/>
        </w:rPr>
        <w:t xml:space="preserve">Stock status and trends </w:t>
      </w:r>
    </w:p>
    <w:p w14:paraId="230AE4CF"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73F88C86" w14:textId="77777777" w:rsidR="00167819" w:rsidRPr="00DA0EE6" w:rsidRDefault="00167819" w:rsidP="00A43F14">
      <w:pPr>
        <w:pStyle w:val="WCPFC"/>
        <w:numPr>
          <w:ilvl w:val="0"/>
          <w:numId w:val="17"/>
        </w:numPr>
        <w:adjustRightInd w:val="0"/>
        <w:spacing w:after="0"/>
        <w:ind w:left="0" w:firstLine="0"/>
        <w:rPr>
          <w:rFonts w:asciiTheme="minorHAnsi" w:hAnsiTheme="minorHAnsi" w:cstheme="minorHAnsi"/>
        </w:rPr>
      </w:pPr>
      <w:r w:rsidRPr="00DA0EE6">
        <w:rPr>
          <w:rFonts w:asciiTheme="minorHAnsi" w:hAnsiTheme="minorHAnsi" w:cstheme="minorHAnsi"/>
        </w:rPr>
        <w:t xml:space="preserve">SC15 noted that no stock assessment was conducted for WCPO yellowfin tuna in 2019. Therefore, the stock status description from SC13 is still current. For further information on the stock status and trends from SC13, please see </w:t>
      </w:r>
      <w:hyperlink r:id="rId36" w:history="1">
        <w:r w:rsidRPr="00DA0EE6">
          <w:rPr>
            <w:rStyle w:val="Hyperlink"/>
            <w:rFonts w:asciiTheme="minorHAnsi" w:hAnsiTheme="minorHAnsi" w:cstheme="minorHAnsi"/>
          </w:rPr>
          <w:t>https://www.wcpfc.int/node/29904</w:t>
        </w:r>
      </w:hyperlink>
    </w:p>
    <w:p w14:paraId="2133DAC8" w14:textId="77777777" w:rsidR="00167819" w:rsidRPr="00DA0EE6" w:rsidRDefault="00167819" w:rsidP="00167819">
      <w:pPr>
        <w:pStyle w:val="ListParagraph"/>
        <w:kinsoku w:val="0"/>
        <w:overflowPunct w:val="0"/>
        <w:adjustRightInd w:val="0"/>
        <w:snapToGrid w:val="0"/>
        <w:ind w:left="0"/>
        <w:jc w:val="both"/>
        <w:rPr>
          <w:rFonts w:asciiTheme="minorHAnsi" w:hAnsiTheme="minorHAnsi" w:cstheme="minorHAnsi"/>
        </w:rPr>
      </w:pPr>
    </w:p>
    <w:p w14:paraId="5D5CE5EC"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SC15 noted that the total yellowfin catch in 2018 was 666,971 mt (the second highest catch on record), a 2% decrease from 2017 and a 9% increase from the average 2013-2017.</w:t>
      </w:r>
    </w:p>
    <w:p w14:paraId="4FED8293" w14:textId="77777777" w:rsidR="00167819" w:rsidRPr="00DA0EE6" w:rsidRDefault="00167819" w:rsidP="00167819">
      <w:pPr>
        <w:pStyle w:val="ListParagraph"/>
        <w:kinsoku w:val="0"/>
        <w:overflowPunct w:val="0"/>
        <w:adjustRightInd w:val="0"/>
        <w:snapToGrid w:val="0"/>
        <w:ind w:left="0"/>
        <w:jc w:val="both"/>
        <w:rPr>
          <w:rFonts w:asciiTheme="minorHAnsi" w:hAnsiTheme="minorHAnsi" w:cstheme="minorHAnsi"/>
        </w:rPr>
      </w:pPr>
    </w:p>
    <w:p w14:paraId="65B71432"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Purse seine catch in 2018 (374,062 mt) was a 22% decrease from 2017 and a 1% increase from the 2013-2017 average. Longline catch in 2018 (94,509 mt) was an 11% increase from 2017 and a 4% increase from the 2013-2017 average. Pole and line catch (12,201 mt) was a 1% decrease from 2017 and a 48% decrease from the average 2013-2017 catch. Catch by other gear (186,199 mt) was a 79% increase from 2017 and 51% increase from the average catch in 2013-2017.</w:t>
      </w:r>
    </w:p>
    <w:p w14:paraId="3B8EB75A"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6D1CD4D4"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SC15 noted that under recent fishery conditions, the yellowfin stock is initially projected to increase as recent estimated recruitments support adult stock biomass. Adult stock biomass is then projected to decline slightly before again increasing. Projected fishing mortality is below F</w:t>
      </w:r>
      <w:r w:rsidRPr="00DA0EE6">
        <w:rPr>
          <w:rFonts w:asciiTheme="minorHAnsi" w:hAnsiTheme="minorHAnsi" w:cstheme="minorHAnsi"/>
          <w:vertAlign w:val="subscript"/>
        </w:rPr>
        <w:t>MSY</w:t>
      </w:r>
      <w:r w:rsidRPr="00DA0EE6">
        <w:rPr>
          <w:rFonts w:asciiTheme="minorHAnsi" w:hAnsiTheme="minorHAnsi" w:cstheme="minorHAnsi"/>
        </w:rPr>
        <w:t xml:space="preserve"> (median F</w:t>
      </w:r>
      <w:r w:rsidRPr="00DA0EE6">
        <w:rPr>
          <w:rFonts w:asciiTheme="minorHAnsi" w:hAnsiTheme="minorHAnsi" w:cstheme="minorHAnsi"/>
          <w:vertAlign w:val="subscript"/>
        </w:rPr>
        <w:t>2020</w:t>
      </w:r>
      <w:r w:rsidRPr="00DA0EE6">
        <w:rPr>
          <w:rFonts w:asciiTheme="minorHAnsi" w:hAnsiTheme="minorHAnsi" w:cstheme="minorHAnsi"/>
        </w:rPr>
        <w:t>/F</w:t>
      </w:r>
      <w:r w:rsidRPr="00DA0EE6">
        <w:rPr>
          <w:rFonts w:asciiTheme="minorHAnsi" w:hAnsiTheme="minorHAnsi" w:cstheme="minorHAnsi"/>
          <w:vertAlign w:val="subscript"/>
        </w:rPr>
        <w:t>MSY</w:t>
      </w:r>
      <w:r w:rsidRPr="00DA0EE6">
        <w:rPr>
          <w:rFonts w:asciiTheme="minorHAnsi" w:hAnsiTheme="minorHAnsi" w:cstheme="minorHAnsi"/>
        </w:rPr>
        <w:t xml:space="preserve"> = 0.74, the risk of F</w:t>
      </w:r>
      <w:r w:rsidRPr="00DA0EE6">
        <w:rPr>
          <w:rFonts w:asciiTheme="minorHAnsi" w:hAnsiTheme="minorHAnsi" w:cstheme="minorHAnsi"/>
          <w:vertAlign w:val="subscript"/>
        </w:rPr>
        <w:t>2020</w:t>
      </w:r>
      <w:r w:rsidRPr="00DA0EE6">
        <w:rPr>
          <w:rFonts w:asciiTheme="minorHAnsi" w:hAnsiTheme="minorHAnsi" w:cstheme="minorHAnsi"/>
        </w:rPr>
        <w:t xml:space="preserve"> &gt; F</w:t>
      </w:r>
      <w:r w:rsidRPr="00DA0EE6">
        <w:rPr>
          <w:rFonts w:asciiTheme="minorHAnsi" w:hAnsiTheme="minorHAnsi" w:cstheme="minorHAnsi"/>
          <w:vertAlign w:val="subscript"/>
        </w:rPr>
        <w:t>MSY</w:t>
      </w:r>
      <w:r w:rsidRPr="00DA0EE6">
        <w:rPr>
          <w:rFonts w:asciiTheme="minorHAnsi" w:hAnsiTheme="minorHAnsi" w:cstheme="minorHAnsi"/>
        </w:rPr>
        <w:t xml:space="preserve"> = 3%) and projected median spawning biomass is above the LRP (SB</w:t>
      </w:r>
      <w:r w:rsidRPr="00DA0EE6">
        <w:rPr>
          <w:rFonts w:asciiTheme="minorHAnsi" w:hAnsiTheme="minorHAnsi" w:cstheme="minorHAnsi"/>
          <w:vertAlign w:val="subscript"/>
        </w:rPr>
        <w:t>2020</w:t>
      </w:r>
      <w:r w:rsidRPr="00DA0EE6">
        <w:rPr>
          <w:rFonts w:asciiTheme="minorHAnsi" w:hAnsiTheme="minorHAnsi" w:cstheme="minorHAnsi"/>
        </w:rPr>
        <w:t>/SB</w:t>
      </w:r>
      <w:r w:rsidRPr="00DA0EE6">
        <w:rPr>
          <w:rFonts w:asciiTheme="minorHAnsi" w:hAnsiTheme="minorHAnsi" w:cstheme="minorHAnsi"/>
          <w:vertAlign w:val="subscript"/>
        </w:rPr>
        <w:t>F=0</w:t>
      </w:r>
      <w:r w:rsidRPr="00DA0EE6">
        <w:rPr>
          <w:rFonts w:asciiTheme="minorHAnsi" w:hAnsiTheme="minorHAnsi" w:cstheme="minorHAnsi"/>
        </w:rPr>
        <w:t xml:space="preserve"> = 0.2) (median SB</w:t>
      </w:r>
      <w:r w:rsidRPr="00DA0EE6">
        <w:rPr>
          <w:rFonts w:asciiTheme="minorHAnsi" w:hAnsiTheme="minorHAnsi" w:cstheme="minorHAnsi"/>
          <w:vertAlign w:val="subscript"/>
        </w:rPr>
        <w:t>2020</w:t>
      </w:r>
      <w:r w:rsidRPr="00DA0EE6">
        <w:rPr>
          <w:rFonts w:asciiTheme="minorHAnsi" w:hAnsiTheme="minorHAnsi" w:cstheme="minorHAnsi"/>
        </w:rPr>
        <w:t>/SB</w:t>
      </w:r>
      <w:r w:rsidRPr="00DA0EE6">
        <w:rPr>
          <w:rFonts w:asciiTheme="minorHAnsi" w:hAnsiTheme="minorHAnsi" w:cstheme="minorHAnsi"/>
          <w:vertAlign w:val="subscript"/>
        </w:rPr>
        <w:t>F=0</w:t>
      </w:r>
      <w:r w:rsidRPr="00DA0EE6">
        <w:rPr>
          <w:rFonts w:asciiTheme="minorHAnsi" w:hAnsiTheme="minorHAnsi" w:cstheme="minorHAnsi"/>
        </w:rPr>
        <w:t xml:space="preserve"> = 0.32; median SB</w:t>
      </w:r>
      <w:r w:rsidRPr="00DA0EE6">
        <w:rPr>
          <w:rFonts w:asciiTheme="minorHAnsi" w:hAnsiTheme="minorHAnsi" w:cstheme="minorHAnsi"/>
          <w:vertAlign w:val="subscript"/>
        </w:rPr>
        <w:t>2020</w:t>
      </w:r>
      <w:r w:rsidRPr="00DA0EE6">
        <w:rPr>
          <w:rFonts w:asciiTheme="minorHAnsi" w:hAnsiTheme="minorHAnsi" w:cstheme="minorHAnsi"/>
        </w:rPr>
        <w:t>/SB</w:t>
      </w:r>
      <w:r w:rsidRPr="00DA0EE6">
        <w:rPr>
          <w:rFonts w:asciiTheme="minorHAnsi" w:hAnsiTheme="minorHAnsi" w:cstheme="minorHAnsi"/>
          <w:vertAlign w:val="subscript"/>
        </w:rPr>
        <w:t>MSY</w:t>
      </w:r>
      <w:r w:rsidRPr="00DA0EE6">
        <w:rPr>
          <w:rFonts w:asciiTheme="minorHAnsi" w:hAnsiTheme="minorHAnsi" w:cstheme="minorHAnsi"/>
        </w:rPr>
        <w:t xml:space="preserve"> = 1.33. Risk that SB</w:t>
      </w:r>
      <w:r w:rsidRPr="00DA0EE6">
        <w:rPr>
          <w:rFonts w:asciiTheme="minorHAnsi" w:hAnsiTheme="minorHAnsi" w:cstheme="minorHAnsi"/>
          <w:vertAlign w:val="subscript"/>
        </w:rPr>
        <w:t>2020</w:t>
      </w:r>
      <w:r w:rsidRPr="00DA0EE6">
        <w:rPr>
          <w:rFonts w:asciiTheme="minorHAnsi" w:hAnsiTheme="minorHAnsi" w:cstheme="minorHAnsi"/>
        </w:rPr>
        <w:t xml:space="preserve"> &lt; LRP = 8%).</w:t>
      </w:r>
    </w:p>
    <w:p w14:paraId="061DC0C1"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3E7869C8" w14:textId="77777777" w:rsidR="00167819" w:rsidRPr="00DA0EE6" w:rsidRDefault="00167819" w:rsidP="00A43F14">
      <w:pPr>
        <w:pStyle w:val="ListParagraph"/>
        <w:widowControl/>
        <w:numPr>
          <w:ilvl w:val="0"/>
          <w:numId w:val="16"/>
        </w:numPr>
        <w:kinsoku w:val="0"/>
        <w:overflowPunct w:val="0"/>
        <w:adjustRightInd w:val="0"/>
        <w:snapToGrid w:val="0"/>
        <w:ind w:left="0" w:firstLine="0"/>
        <w:jc w:val="both"/>
        <w:rPr>
          <w:rFonts w:asciiTheme="minorHAnsi" w:hAnsiTheme="minorHAnsi" w:cstheme="minorHAnsi"/>
          <w:b/>
          <w:bCs/>
        </w:rPr>
      </w:pPr>
      <w:r w:rsidRPr="00DA0EE6">
        <w:rPr>
          <w:rFonts w:asciiTheme="minorHAnsi" w:hAnsiTheme="minorHAnsi" w:cstheme="minorHAnsi"/>
          <w:b/>
          <w:bCs/>
        </w:rPr>
        <w:t xml:space="preserve">Management advice and implications </w:t>
      </w:r>
    </w:p>
    <w:p w14:paraId="2C7EE3F1"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1AFB5691"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 xml:space="preserve">SC15 noted that no stock assessment has been conducted since SC13. Therefore, the advice from SC13 should be maintained, pending a new assessment or other new information. For further information on the management advice and implications from SC13, please see </w:t>
      </w:r>
      <w:hyperlink r:id="rId37" w:history="1">
        <w:r w:rsidRPr="00DA0EE6">
          <w:rPr>
            <w:rStyle w:val="Hyperlink"/>
            <w:rFonts w:asciiTheme="minorHAnsi" w:hAnsiTheme="minorHAnsi" w:cstheme="minorHAnsi"/>
          </w:rPr>
          <w:t>https://www.wcpfc.int/node/29904</w:t>
        </w:r>
      </w:hyperlink>
    </w:p>
    <w:p w14:paraId="3734AD20"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7AE28428" w14:textId="77777777" w:rsidR="00167819" w:rsidRPr="00DA0EE6" w:rsidRDefault="00167819" w:rsidP="00A43F14">
      <w:pPr>
        <w:pStyle w:val="ListParagraph"/>
        <w:widowControl/>
        <w:numPr>
          <w:ilvl w:val="0"/>
          <w:numId w:val="16"/>
        </w:numPr>
        <w:kinsoku w:val="0"/>
        <w:overflowPunct w:val="0"/>
        <w:adjustRightInd w:val="0"/>
        <w:snapToGrid w:val="0"/>
        <w:ind w:left="0" w:firstLine="0"/>
        <w:jc w:val="both"/>
        <w:rPr>
          <w:rFonts w:asciiTheme="minorHAnsi" w:hAnsiTheme="minorHAnsi" w:cstheme="minorHAnsi"/>
          <w:b/>
          <w:bCs/>
        </w:rPr>
      </w:pPr>
      <w:r w:rsidRPr="00DA0EE6">
        <w:rPr>
          <w:rFonts w:asciiTheme="minorHAnsi" w:hAnsiTheme="minorHAnsi" w:cstheme="minorHAnsi"/>
          <w:b/>
          <w:bCs/>
        </w:rPr>
        <w:t>Research Recommendations</w:t>
      </w:r>
    </w:p>
    <w:p w14:paraId="5EF4E312"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73B82325"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SC15 encouraged the continuation of project 82 on yellowfin tuna age and growth for the next stock assessment.</w:t>
      </w:r>
    </w:p>
    <w:p w14:paraId="7A293B13"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1ACC32D4" w14:textId="77777777" w:rsidR="00167819" w:rsidRPr="00DA0EE6" w:rsidRDefault="00167819" w:rsidP="00167819">
      <w:pPr>
        <w:pStyle w:val="WCPFC"/>
        <w:adjustRightInd w:val="0"/>
        <w:spacing w:after="0"/>
        <w:ind w:left="0" w:firstLine="0"/>
        <w:rPr>
          <w:rFonts w:asciiTheme="minorHAnsi" w:hAnsiTheme="minorHAnsi" w:cstheme="minorHAnsi"/>
        </w:rPr>
      </w:pPr>
      <w:r w:rsidRPr="00DA0EE6">
        <w:rPr>
          <w:rFonts w:asciiTheme="minorHAnsi" w:hAnsiTheme="minorHAnsi" w:cstheme="minorHAnsi"/>
        </w:rPr>
        <w:t>SC15 noted that the following research issues need to be addressed for yellowfin tuna after classifying these research items as short-term (preferably before SC16) and long-term (preferably before the scheduled 2023 stock assessment).</w:t>
      </w:r>
    </w:p>
    <w:p w14:paraId="26C6AA49" w14:textId="77777777" w:rsidR="00167819" w:rsidRPr="00DA0EE6" w:rsidRDefault="00167819" w:rsidP="00167819">
      <w:pPr>
        <w:pStyle w:val="ListParagraph"/>
        <w:widowControl/>
        <w:numPr>
          <w:ilvl w:val="4"/>
          <w:numId w:val="15"/>
        </w:numPr>
        <w:kinsoku w:val="0"/>
        <w:overflowPunct w:val="0"/>
        <w:adjustRightInd w:val="0"/>
        <w:snapToGrid w:val="0"/>
        <w:ind w:left="1080"/>
        <w:jc w:val="both"/>
        <w:rPr>
          <w:rFonts w:asciiTheme="minorHAnsi" w:hAnsiTheme="minorHAnsi" w:cstheme="minorHAnsi"/>
        </w:rPr>
      </w:pPr>
      <w:r w:rsidRPr="00DA0EE6">
        <w:rPr>
          <w:rFonts w:asciiTheme="minorHAnsi" w:hAnsiTheme="minorHAnsi" w:cstheme="minorHAnsi"/>
        </w:rPr>
        <w:t xml:space="preserve">Carry out further otolith age validation studies for yellowfin in the western and central Pacific such as applying radiocarbon age validation (short to long-term). </w:t>
      </w:r>
    </w:p>
    <w:p w14:paraId="2E7F7FFF" w14:textId="77777777" w:rsidR="00167819" w:rsidRPr="00DA0EE6" w:rsidRDefault="00167819" w:rsidP="00167819">
      <w:pPr>
        <w:pStyle w:val="ListParagraph"/>
        <w:widowControl/>
        <w:numPr>
          <w:ilvl w:val="4"/>
          <w:numId w:val="15"/>
        </w:numPr>
        <w:kinsoku w:val="0"/>
        <w:overflowPunct w:val="0"/>
        <w:adjustRightInd w:val="0"/>
        <w:snapToGrid w:val="0"/>
        <w:ind w:left="1080"/>
        <w:jc w:val="both"/>
        <w:rPr>
          <w:rFonts w:asciiTheme="minorHAnsi" w:hAnsiTheme="minorHAnsi" w:cstheme="minorHAnsi"/>
        </w:rPr>
      </w:pPr>
      <w:r w:rsidRPr="00DA0EE6">
        <w:rPr>
          <w:rFonts w:asciiTheme="minorHAnsi" w:hAnsiTheme="minorHAnsi" w:cstheme="minorHAnsi"/>
        </w:rPr>
        <w:t>Compile a high confidence tagging dataset for growth analysis and develop an integrated growth model incorporating the tagging data and the otolith data (short-term).</w:t>
      </w:r>
    </w:p>
    <w:p w14:paraId="6C5E2C6E" w14:textId="77777777" w:rsidR="00167819" w:rsidRPr="00DA0EE6" w:rsidRDefault="00167819" w:rsidP="00167819">
      <w:pPr>
        <w:pStyle w:val="ListParagraph"/>
        <w:widowControl/>
        <w:numPr>
          <w:ilvl w:val="4"/>
          <w:numId w:val="15"/>
        </w:numPr>
        <w:kinsoku w:val="0"/>
        <w:overflowPunct w:val="0"/>
        <w:adjustRightInd w:val="0"/>
        <w:snapToGrid w:val="0"/>
        <w:ind w:left="1080"/>
        <w:jc w:val="both"/>
        <w:rPr>
          <w:rFonts w:asciiTheme="minorHAnsi" w:hAnsiTheme="minorHAnsi" w:cstheme="minorHAnsi"/>
        </w:rPr>
      </w:pPr>
      <w:r w:rsidRPr="00DA0EE6">
        <w:rPr>
          <w:rFonts w:asciiTheme="minorHAnsi" w:hAnsiTheme="minorHAnsi" w:cstheme="minorHAnsi"/>
        </w:rPr>
        <w:t>Continue to develop and document protocols for daily and annual ageing by IATTC and WCPFC (short-term).</w:t>
      </w:r>
    </w:p>
    <w:p w14:paraId="73DB6D25" w14:textId="77777777" w:rsidR="00167819" w:rsidRPr="00DA0EE6" w:rsidRDefault="00167819" w:rsidP="00167819">
      <w:pPr>
        <w:kinsoku w:val="0"/>
        <w:overflowPunct w:val="0"/>
        <w:autoSpaceDE w:val="0"/>
        <w:autoSpaceDN w:val="0"/>
        <w:adjustRightInd w:val="0"/>
        <w:snapToGrid w:val="0"/>
        <w:spacing w:after="0" w:line="240" w:lineRule="auto"/>
        <w:jc w:val="both"/>
        <w:rPr>
          <w:rFonts w:cstheme="minorHAnsi"/>
        </w:rPr>
      </w:pPr>
    </w:p>
    <w:p w14:paraId="652FD838" w14:textId="77777777" w:rsidR="00493657" w:rsidRPr="00DA0EE6" w:rsidRDefault="00493657" w:rsidP="00167819">
      <w:pPr>
        <w:tabs>
          <w:tab w:val="left" w:pos="820"/>
        </w:tabs>
        <w:adjustRightInd w:val="0"/>
        <w:snapToGrid w:val="0"/>
        <w:spacing w:after="0" w:line="240" w:lineRule="auto"/>
        <w:rPr>
          <w:rFonts w:cstheme="minorHAnsi"/>
          <w:b/>
        </w:rPr>
      </w:pPr>
    </w:p>
    <w:p w14:paraId="796EA301" w14:textId="2C725BFB" w:rsidR="00E52163" w:rsidRPr="00DA0EE6" w:rsidRDefault="00E52163" w:rsidP="00167819">
      <w:pPr>
        <w:pStyle w:val="Heading1"/>
        <w:adjustRightInd w:val="0"/>
        <w:snapToGrid w:val="0"/>
        <w:spacing w:before="0" w:line="240" w:lineRule="auto"/>
        <w:rPr>
          <w:rFonts w:asciiTheme="minorHAnsi" w:hAnsiTheme="minorHAnsi" w:cstheme="minorHAnsi"/>
        </w:rPr>
      </w:pPr>
      <w:bookmarkStart w:id="4" w:name="_Toc159853630"/>
      <w:r w:rsidRPr="00DA0EE6">
        <w:rPr>
          <w:rFonts w:asciiTheme="minorHAnsi" w:hAnsiTheme="minorHAnsi" w:cstheme="minorHAnsi"/>
        </w:rPr>
        <w:t>SC14 2018</w:t>
      </w:r>
      <w:r w:rsidR="00C8592D" w:rsidRPr="00DA0EE6">
        <w:rPr>
          <w:rFonts w:asciiTheme="minorHAnsi" w:hAnsiTheme="minorHAnsi" w:cstheme="minorHAnsi"/>
        </w:rPr>
        <w:t xml:space="preserve"> (</w:t>
      </w:r>
      <w:r w:rsidR="00493657" w:rsidRPr="00DA0EE6">
        <w:rPr>
          <w:rFonts w:asciiTheme="minorHAnsi" w:hAnsiTheme="minorHAnsi" w:cstheme="minorHAnsi"/>
        </w:rPr>
        <w:t xml:space="preserve">FISHERY </w:t>
      </w:r>
      <w:r w:rsidR="00C8592D" w:rsidRPr="00DA0EE6">
        <w:rPr>
          <w:rFonts w:asciiTheme="minorHAnsi" w:hAnsiTheme="minorHAnsi" w:cstheme="minorHAnsi"/>
        </w:rPr>
        <w:t>INDICATOR</w:t>
      </w:r>
      <w:r w:rsidR="00493657" w:rsidRPr="00DA0EE6">
        <w:rPr>
          <w:rFonts w:asciiTheme="minorHAnsi" w:hAnsiTheme="minorHAnsi" w:cstheme="minorHAnsi"/>
        </w:rPr>
        <w:t>S</w:t>
      </w:r>
      <w:r w:rsidR="00C8592D" w:rsidRPr="00DA0EE6">
        <w:rPr>
          <w:rFonts w:asciiTheme="minorHAnsi" w:hAnsiTheme="minorHAnsi" w:cstheme="minorHAnsi"/>
        </w:rPr>
        <w:t xml:space="preserve"> </w:t>
      </w:r>
      <w:r w:rsidR="00493657" w:rsidRPr="00DA0EE6">
        <w:rPr>
          <w:rFonts w:asciiTheme="minorHAnsi" w:hAnsiTheme="minorHAnsi" w:cstheme="minorHAnsi"/>
        </w:rPr>
        <w:t>UPDATED</w:t>
      </w:r>
      <w:r w:rsidR="00C8592D" w:rsidRPr="00DA0EE6">
        <w:rPr>
          <w:rFonts w:asciiTheme="minorHAnsi" w:hAnsiTheme="minorHAnsi" w:cstheme="minorHAnsi"/>
        </w:rPr>
        <w:t>)</w:t>
      </w:r>
      <w:bookmarkEnd w:id="4"/>
    </w:p>
    <w:p w14:paraId="247043DE" w14:textId="77777777" w:rsidR="00D03F79" w:rsidRPr="00DA0EE6" w:rsidRDefault="00D03F79" w:rsidP="00167819">
      <w:pPr>
        <w:tabs>
          <w:tab w:val="left" w:pos="820"/>
        </w:tabs>
        <w:adjustRightInd w:val="0"/>
        <w:snapToGrid w:val="0"/>
        <w:spacing w:after="0" w:line="240" w:lineRule="auto"/>
        <w:rPr>
          <w:rFonts w:cstheme="minorHAnsi"/>
        </w:rPr>
      </w:pPr>
    </w:p>
    <w:p w14:paraId="01E861B6" w14:textId="296FF154" w:rsidR="00E52163" w:rsidRPr="00DA0EE6" w:rsidRDefault="00E52163" w:rsidP="00167819">
      <w:pPr>
        <w:pStyle w:val="ListParagraph"/>
        <w:numPr>
          <w:ilvl w:val="0"/>
          <w:numId w:val="5"/>
        </w:numPr>
        <w:adjustRightInd w:val="0"/>
        <w:snapToGrid w:val="0"/>
        <w:ind w:left="0" w:firstLine="0"/>
        <w:rPr>
          <w:rFonts w:asciiTheme="minorHAnsi" w:hAnsiTheme="minorHAnsi" w:cstheme="minorHAnsi"/>
          <w:b/>
          <w:sz w:val="24"/>
          <w:szCs w:val="24"/>
        </w:rPr>
      </w:pPr>
      <w:r w:rsidRPr="00DA0EE6">
        <w:rPr>
          <w:rFonts w:asciiTheme="minorHAnsi" w:hAnsiTheme="minorHAnsi" w:cstheme="minorHAnsi"/>
          <w:b/>
          <w:sz w:val="24"/>
          <w:szCs w:val="24"/>
        </w:rPr>
        <w:lastRenderedPageBreak/>
        <w:t>Stock Status and trends</w:t>
      </w:r>
    </w:p>
    <w:p w14:paraId="4AF93039" w14:textId="77777777" w:rsidR="00D03F79" w:rsidRPr="00DA0EE6" w:rsidRDefault="00D03F79" w:rsidP="00167819">
      <w:pPr>
        <w:tabs>
          <w:tab w:val="left" w:pos="820"/>
        </w:tabs>
        <w:adjustRightInd w:val="0"/>
        <w:snapToGrid w:val="0"/>
        <w:spacing w:after="0" w:line="240" w:lineRule="auto"/>
        <w:rPr>
          <w:rFonts w:cstheme="minorHAnsi"/>
          <w:b/>
        </w:rPr>
      </w:pPr>
    </w:p>
    <w:p w14:paraId="54BBE1E2" w14:textId="7F3A23A7" w:rsidR="00E52163" w:rsidRPr="00DA0EE6" w:rsidRDefault="00E52163" w:rsidP="00167819">
      <w:pPr>
        <w:pStyle w:val="WCPFC"/>
        <w:numPr>
          <w:ilvl w:val="0"/>
          <w:numId w:val="6"/>
        </w:numPr>
        <w:adjustRightInd w:val="0"/>
        <w:spacing w:after="0"/>
        <w:ind w:left="0" w:firstLine="0"/>
        <w:rPr>
          <w:rFonts w:asciiTheme="minorHAnsi" w:hAnsiTheme="minorHAnsi" w:cstheme="minorHAnsi"/>
          <w:bCs/>
        </w:rPr>
      </w:pPr>
      <w:r w:rsidRPr="00DA0EE6">
        <w:rPr>
          <w:rFonts w:asciiTheme="minorHAnsi" w:hAnsiTheme="minorHAnsi" w:cstheme="minorHAnsi"/>
          <w:bCs/>
        </w:rPr>
        <w:t>SC14 noted that no stock assessment was conducted for WCPO yellowfin tuna in 2018. Therefore, the stock status description from SC13 is still current. For further information on the stock status and trends from SC13, please see below.</w:t>
      </w:r>
    </w:p>
    <w:p w14:paraId="46D59084" w14:textId="77777777" w:rsidR="00E52163" w:rsidRPr="00DA0EE6" w:rsidRDefault="00E52163" w:rsidP="00167819">
      <w:pPr>
        <w:pStyle w:val="WCPFC"/>
        <w:numPr>
          <w:ilvl w:val="0"/>
          <w:numId w:val="0"/>
        </w:numPr>
        <w:adjustRightInd w:val="0"/>
        <w:spacing w:after="0"/>
        <w:rPr>
          <w:rFonts w:asciiTheme="minorHAnsi" w:hAnsiTheme="minorHAnsi" w:cstheme="minorHAnsi"/>
          <w:bCs/>
        </w:rPr>
      </w:pPr>
    </w:p>
    <w:p w14:paraId="0A15E3A2" w14:textId="77777777" w:rsidR="00E52163" w:rsidRPr="00DA0EE6" w:rsidRDefault="00E52163" w:rsidP="00167819">
      <w:pPr>
        <w:pStyle w:val="WCPFC"/>
        <w:numPr>
          <w:ilvl w:val="0"/>
          <w:numId w:val="6"/>
        </w:numPr>
        <w:adjustRightInd w:val="0"/>
        <w:spacing w:after="0"/>
        <w:ind w:left="0" w:firstLine="0"/>
        <w:rPr>
          <w:rFonts w:asciiTheme="minorHAnsi" w:hAnsiTheme="minorHAnsi" w:cstheme="minorHAnsi"/>
          <w:bCs/>
        </w:rPr>
      </w:pPr>
      <w:r w:rsidRPr="00DA0EE6">
        <w:rPr>
          <w:rFonts w:asciiTheme="minorHAnsi" w:hAnsiTheme="minorHAnsi" w:cstheme="minorHAnsi"/>
          <w:bCs/>
        </w:rPr>
        <w:t>SC14 noted that the total yellowfin catch in 2017 was a record 670,890 mt, a 4% increase from 2016 and a</w:t>
      </w:r>
      <w:r w:rsidRPr="00DA0EE6">
        <w:rPr>
          <w:rFonts w:asciiTheme="minorHAnsi" w:hAnsiTheme="minorHAnsi" w:cstheme="minorHAnsi"/>
          <w:bCs/>
          <w:lang w:eastAsia="ja-JP"/>
        </w:rPr>
        <w:t xml:space="preserve"> </w:t>
      </w:r>
      <w:r w:rsidRPr="00DA0EE6">
        <w:rPr>
          <w:rFonts w:asciiTheme="minorHAnsi" w:hAnsiTheme="minorHAnsi" w:cstheme="minorHAnsi"/>
          <w:bCs/>
        </w:rPr>
        <w:t>12% increase from the average 2012-2016.</w:t>
      </w:r>
    </w:p>
    <w:p w14:paraId="04CA82DD" w14:textId="77777777" w:rsidR="00D03F79" w:rsidRPr="00DA0EE6" w:rsidRDefault="00D03F79" w:rsidP="00167819">
      <w:pPr>
        <w:pStyle w:val="WCPFC"/>
        <w:numPr>
          <w:ilvl w:val="0"/>
          <w:numId w:val="0"/>
        </w:numPr>
        <w:adjustRightInd w:val="0"/>
        <w:spacing w:after="0"/>
        <w:rPr>
          <w:rFonts w:asciiTheme="minorHAnsi" w:hAnsiTheme="minorHAnsi" w:cstheme="minorHAnsi"/>
          <w:bCs/>
        </w:rPr>
      </w:pPr>
    </w:p>
    <w:p w14:paraId="680B16EC" w14:textId="77777777" w:rsidR="00E52163" w:rsidRPr="00DA0EE6" w:rsidRDefault="00E52163" w:rsidP="00167819">
      <w:pPr>
        <w:pStyle w:val="WCPFC"/>
        <w:numPr>
          <w:ilvl w:val="0"/>
          <w:numId w:val="6"/>
        </w:numPr>
        <w:adjustRightInd w:val="0"/>
        <w:spacing w:after="0"/>
        <w:ind w:left="0" w:firstLine="0"/>
        <w:rPr>
          <w:rFonts w:asciiTheme="minorHAnsi" w:hAnsiTheme="minorHAnsi" w:cstheme="minorHAnsi"/>
          <w:bCs/>
        </w:rPr>
      </w:pPr>
      <w:r w:rsidRPr="00DA0EE6">
        <w:rPr>
          <w:rFonts w:asciiTheme="minorHAnsi" w:hAnsiTheme="minorHAnsi" w:cstheme="minorHAnsi"/>
          <w:bCs/>
        </w:rPr>
        <w:t>Purse seine catch in 2017 (472,279mt) was a 22% increase from 2016 and a 33% increase</w:t>
      </w:r>
      <w:r w:rsidRPr="00DA0EE6">
        <w:rPr>
          <w:rFonts w:asciiTheme="minorHAnsi" w:hAnsiTheme="minorHAnsi" w:cstheme="minorHAnsi"/>
          <w:bCs/>
          <w:lang w:eastAsia="ja-JP"/>
        </w:rPr>
        <w:t xml:space="preserve"> </w:t>
      </w:r>
      <w:r w:rsidRPr="00DA0EE6">
        <w:rPr>
          <w:rFonts w:asciiTheme="minorHAnsi" w:hAnsiTheme="minorHAnsi" w:cstheme="minorHAnsi"/>
          <w:bCs/>
        </w:rPr>
        <w:t>from the 2012-2016 average. Longline catch in 2017 (83,399mt)</w:t>
      </w:r>
      <w:r w:rsidRPr="00DA0EE6">
        <w:rPr>
          <w:rFonts w:asciiTheme="minorHAnsi" w:hAnsiTheme="minorHAnsi" w:cstheme="minorHAnsi"/>
          <w:bCs/>
          <w:lang w:eastAsia="ja-JP"/>
        </w:rPr>
        <w:t xml:space="preserve"> </w:t>
      </w:r>
      <w:r w:rsidRPr="00DA0EE6">
        <w:rPr>
          <w:rFonts w:asciiTheme="minorHAnsi" w:hAnsiTheme="minorHAnsi" w:cstheme="minorHAnsi"/>
          <w:bCs/>
        </w:rPr>
        <w:t>was a 6% decrease from 2016 and a 9% decrease from the 2012-2016 average. Pole and line catch (12,219mt) was a 48% decrease</w:t>
      </w:r>
      <w:r w:rsidRPr="00DA0EE6">
        <w:rPr>
          <w:rFonts w:asciiTheme="minorHAnsi" w:hAnsiTheme="minorHAnsi" w:cstheme="minorHAnsi"/>
          <w:bCs/>
          <w:lang w:eastAsia="ja-JP"/>
        </w:rPr>
        <w:t xml:space="preserve"> </w:t>
      </w:r>
      <w:r w:rsidRPr="00DA0EE6">
        <w:rPr>
          <w:rFonts w:asciiTheme="minorHAnsi" w:hAnsiTheme="minorHAnsi" w:cstheme="minorHAnsi"/>
          <w:bCs/>
        </w:rPr>
        <w:t>from 2016 and a 56% decrease from the average 2012-2016 catch.</w:t>
      </w:r>
      <w:r w:rsidRPr="00DA0EE6">
        <w:rPr>
          <w:rFonts w:asciiTheme="minorHAnsi" w:hAnsiTheme="minorHAnsi" w:cstheme="minorHAnsi"/>
          <w:bCs/>
          <w:lang w:eastAsia="ja-JP"/>
        </w:rPr>
        <w:t xml:space="preserve"> </w:t>
      </w:r>
      <w:r w:rsidRPr="00DA0EE6">
        <w:rPr>
          <w:rFonts w:asciiTheme="minorHAnsi" w:hAnsiTheme="minorHAnsi" w:cstheme="minorHAnsi"/>
          <w:bCs/>
        </w:rPr>
        <w:t>Catch by other gear (102,993mt) was a 28% decrease from 2016</w:t>
      </w:r>
      <w:r w:rsidRPr="00DA0EE6">
        <w:rPr>
          <w:rFonts w:asciiTheme="minorHAnsi" w:hAnsiTheme="minorHAnsi" w:cstheme="minorHAnsi"/>
          <w:bCs/>
          <w:lang w:eastAsia="ja-JP"/>
        </w:rPr>
        <w:t xml:space="preserve"> </w:t>
      </w:r>
      <w:r w:rsidRPr="00DA0EE6">
        <w:rPr>
          <w:rFonts w:asciiTheme="minorHAnsi" w:hAnsiTheme="minorHAnsi" w:cstheme="minorHAnsi"/>
          <w:bCs/>
        </w:rPr>
        <w:t xml:space="preserve">and 17% decrease from the average catch in 2012-2016. </w:t>
      </w:r>
    </w:p>
    <w:p w14:paraId="0C7B563F" w14:textId="77777777" w:rsidR="00D03F79" w:rsidRPr="00DA0EE6" w:rsidRDefault="00D03F79" w:rsidP="00167819">
      <w:pPr>
        <w:pStyle w:val="WCPFC"/>
        <w:numPr>
          <w:ilvl w:val="0"/>
          <w:numId w:val="0"/>
        </w:numPr>
        <w:adjustRightInd w:val="0"/>
        <w:spacing w:after="0"/>
        <w:rPr>
          <w:rFonts w:asciiTheme="minorHAnsi" w:hAnsiTheme="minorHAnsi" w:cstheme="minorHAnsi"/>
          <w:bCs/>
        </w:rPr>
      </w:pPr>
    </w:p>
    <w:p w14:paraId="72A861AF" w14:textId="77777777" w:rsidR="00E52163" w:rsidRPr="00DA0EE6" w:rsidRDefault="00E52163" w:rsidP="00167819">
      <w:pPr>
        <w:pStyle w:val="WCPFC"/>
        <w:numPr>
          <w:ilvl w:val="0"/>
          <w:numId w:val="6"/>
        </w:numPr>
        <w:adjustRightInd w:val="0"/>
        <w:spacing w:after="0"/>
        <w:ind w:left="0" w:firstLine="0"/>
        <w:rPr>
          <w:rFonts w:asciiTheme="minorHAnsi" w:hAnsiTheme="minorHAnsi" w:cstheme="minorHAnsi"/>
          <w:bCs/>
        </w:rPr>
      </w:pPr>
      <w:r w:rsidRPr="00DA0EE6">
        <w:rPr>
          <w:rFonts w:asciiTheme="minorHAnsi" w:hAnsiTheme="minorHAnsi" w:cstheme="minorHAnsi"/>
          <w:bCs/>
        </w:rPr>
        <w:t>SC14 noted that under recent fishery conditions, the yellowfin stock was initially</w:t>
      </w:r>
      <w:r w:rsidRPr="00DA0EE6">
        <w:rPr>
          <w:rFonts w:asciiTheme="minorHAnsi" w:hAnsiTheme="minorHAnsi" w:cstheme="minorHAnsi"/>
          <w:bCs/>
          <w:lang w:eastAsia="ja-JP"/>
        </w:rPr>
        <w:t xml:space="preserve"> </w:t>
      </w:r>
      <w:r w:rsidRPr="00DA0EE6">
        <w:rPr>
          <w:rFonts w:asciiTheme="minorHAnsi" w:hAnsiTheme="minorHAnsi" w:cstheme="minorHAnsi"/>
          <w:bCs/>
        </w:rPr>
        <w:t>projected to increase as recent estimated relatively high recruitments support adult stock biomass, then decline slightly. Median</w:t>
      </w:r>
      <w:r w:rsidRPr="00DA0EE6">
        <w:rPr>
          <w:rFonts w:asciiTheme="minorHAnsi" w:hAnsiTheme="minorHAnsi" w:cstheme="minorHAnsi"/>
          <w:bCs/>
          <w:lang w:eastAsia="ja-JP"/>
        </w:rPr>
        <w:t xml:space="preserve"> </w:t>
      </w:r>
      <w:r w:rsidRPr="00DA0EE6">
        <w:rPr>
          <w:rFonts w:asciiTheme="minorHAnsi" w:hAnsiTheme="minorHAnsi" w:cstheme="minorHAnsi"/>
          <w:bCs/>
        </w:rPr>
        <w:t>F</w:t>
      </w:r>
      <w:r w:rsidRPr="00DA0EE6">
        <w:rPr>
          <w:rFonts w:asciiTheme="minorHAnsi" w:hAnsiTheme="minorHAnsi" w:cstheme="minorHAnsi"/>
          <w:bCs/>
          <w:vertAlign w:val="subscript"/>
        </w:rPr>
        <w:t>2019</w:t>
      </w:r>
      <w:r w:rsidRPr="00DA0EE6">
        <w:rPr>
          <w:rFonts w:asciiTheme="minorHAnsi" w:hAnsiTheme="minorHAnsi" w:cstheme="minorHAnsi"/>
          <w:bCs/>
        </w:rPr>
        <w:t>/F</w:t>
      </w:r>
      <w:r w:rsidRPr="00DA0EE6">
        <w:rPr>
          <w:rFonts w:asciiTheme="minorHAnsi" w:hAnsiTheme="minorHAnsi" w:cstheme="minorHAnsi"/>
          <w:bCs/>
          <w:vertAlign w:val="subscript"/>
        </w:rPr>
        <w:t>MSY</w:t>
      </w:r>
      <w:r w:rsidRPr="00DA0EE6">
        <w:rPr>
          <w:rFonts w:asciiTheme="minorHAnsi" w:hAnsiTheme="minorHAnsi" w:cstheme="minorHAnsi"/>
          <w:bCs/>
        </w:rPr>
        <w:t xml:space="preserve"> = 0.63; median SB</w:t>
      </w:r>
      <w:r w:rsidRPr="00DA0EE6">
        <w:rPr>
          <w:rFonts w:asciiTheme="minorHAnsi" w:hAnsiTheme="minorHAnsi" w:cstheme="minorHAnsi"/>
          <w:bCs/>
          <w:vertAlign w:val="subscript"/>
        </w:rPr>
        <w:t>2019</w:t>
      </w:r>
      <w:r w:rsidRPr="00DA0EE6">
        <w:rPr>
          <w:rFonts w:asciiTheme="minorHAnsi" w:hAnsiTheme="minorHAnsi" w:cstheme="minorHAnsi"/>
          <w:bCs/>
        </w:rPr>
        <w:t>/SB</w:t>
      </w:r>
      <w:r w:rsidRPr="00DA0EE6">
        <w:rPr>
          <w:rFonts w:asciiTheme="minorHAnsi" w:hAnsiTheme="minorHAnsi" w:cstheme="minorHAnsi"/>
          <w:bCs/>
          <w:vertAlign w:val="subscript"/>
        </w:rPr>
        <w:t>F=0</w:t>
      </w:r>
      <w:r w:rsidRPr="00DA0EE6">
        <w:rPr>
          <w:rFonts w:asciiTheme="minorHAnsi" w:hAnsiTheme="minorHAnsi" w:cstheme="minorHAnsi"/>
          <w:bCs/>
        </w:rPr>
        <w:t xml:space="preserve"> = 0.37; median</w:t>
      </w:r>
      <w:r w:rsidRPr="00DA0EE6">
        <w:rPr>
          <w:rFonts w:asciiTheme="minorHAnsi" w:hAnsiTheme="minorHAnsi" w:cstheme="minorHAnsi"/>
          <w:bCs/>
          <w:lang w:eastAsia="ja-JP"/>
        </w:rPr>
        <w:t xml:space="preserve"> </w:t>
      </w:r>
      <w:r w:rsidRPr="00DA0EE6">
        <w:rPr>
          <w:rFonts w:asciiTheme="minorHAnsi" w:hAnsiTheme="minorHAnsi" w:cstheme="minorHAnsi"/>
          <w:bCs/>
        </w:rPr>
        <w:t>SB</w:t>
      </w:r>
      <w:r w:rsidRPr="00DA0EE6">
        <w:rPr>
          <w:rFonts w:asciiTheme="minorHAnsi" w:hAnsiTheme="minorHAnsi" w:cstheme="minorHAnsi"/>
          <w:bCs/>
          <w:vertAlign w:val="subscript"/>
        </w:rPr>
        <w:t>2019</w:t>
      </w:r>
      <w:r w:rsidRPr="00DA0EE6">
        <w:rPr>
          <w:rFonts w:asciiTheme="minorHAnsi" w:hAnsiTheme="minorHAnsi" w:cstheme="minorHAnsi"/>
          <w:bCs/>
        </w:rPr>
        <w:t>/SB</w:t>
      </w:r>
      <w:r w:rsidRPr="00DA0EE6">
        <w:rPr>
          <w:rFonts w:asciiTheme="minorHAnsi" w:hAnsiTheme="minorHAnsi" w:cstheme="minorHAnsi"/>
          <w:bCs/>
          <w:vertAlign w:val="subscript"/>
        </w:rPr>
        <w:t>MSY</w:t>
      </w:r>
      <w:r w:rsidRPr="00DA0EE6">
        <w:rPr>
          <w:rFonts w:asciiTheme="minorHAnsi" w:hAnsiTheme="minorHAnsi" w:cstheme="minorHAnsi"/>
          <w:bCs/>
        </w:rPr>
        <w:t xml:space="preserve"> = 1.51. Risk that SB</w:t>
      </w:r>
      <w:r w:rsidRPr="00DA0EE6">
        <w:rPr>
          <w:rFonts w:asciiTheme="minorHAnsi" w:hAnsiTheme="minorHAnsi" w:cstheme="minorHAnsi"/>
          <w:bCs/>
          <w:vertAlign w:val="subscript"/>
        </w:rPr>
        <w:t>2019</w:t>
      </w:r>
      <w:r w:rsidRPr="00DA0EE6">
        <w:rPr>
          <w:rFonts w:asciiTheme="minorHAnsi" w:hAnsiTheme="minorHAnsi" w:cstheme="minorHAnsi"/>
          <w:bCs/>
        </w:rPr>
        <w:t xml:space="preserve"> &lt; LRP = 6%. </w:t>
      </w:r>
    </w:p>
    <w:p w14:paraId="40B87C9F" w14:textId="77777777" w:rsidR="00D03F79" w:rsidRPr="00DA0EE6" w:rsidRDefault="00D03F79" w:rsidP="00167819">
      <w:pPr>
        <w:pStyle w:val="WCPFC"/>
        <w:numPr>
          <w:ilvl w:val="0"/>
          <w:numId w:val="0"/>
        </w:numPr>
        <w:adjustRightInd w:val="0"/>
        <w:spacing w:after="0"/>
        <w:rPr>
          <w:rFonts w:asciiTheme="minorHAnsi" w:hAnsiTheme="minorHAnsi" w:cstheme="minorHAnsi"/>
          <w:b/>
        </w:rPr>
      </w:pPr>
    </w:p>
    <w:p w14:paraId="0091B7F5" w14:textId="2D029878" w:rsidR="00E52163" w:rsidRPr="00DA0EE6" w:rsidRDefault="00E52163" w:rsidP="00167819">
      <w:pPr>
        <w:pStyle w:val="ListParagraph"/>
        <w:numPr>
          <w:ilvl w:val="0"/>
          <w:numId w:val="5"/>
        </w:numPr>
        <w:adjustRightInd w:val="0"/>
        <w:snapToGrid w:val="0"/>
        <w:ind w:left="0" w:firstLine="0"/>
        <w:rPr>
          <w:rFonts w:asciiTheme="minorHAnsi" w:hAnsiTheme="minorHAnsi" w:cstheme="minorHAnsi"/>
          <w:b/>
          <w:sz w:val="24"/>
          <w:szCs w:val="24"/>
        </w:rPr>
      </w:pPr>
      <w:r w:rsidRPr="00DA0EE6">
        <w:rPr>
          <w:rFonts w:asciiTheme="minorHAnsi" w:hAnsiTheme="minorHAnsi" w:cstheme="minorHAnsi"/>
          <w:b/>
          <w:sz w:val="24"/>
          <w:szCs w:val="24"/>
        </w:rPr>
        <w:t>Management advice and implications</w:t>
      </w:r>
    </w:p>
    <w:p w14:paraId="714ADD76" w14:textId="77777777" w:rsidR="00D03F79" w:rsidRPr="00DA0EE6" w:rsidRDefault="00D03F79" w:rsidP="00167819">
      <w:pPr>
        <w:pStyle w:val="WCPFC"/>
        <w:numPr>
          <w:ilvl w:val="0"/>
          <w:numId w:val="0"/>
        </w:numPr>
        <w:adjustRightInd w:val="0"/>
        <w:spacing w:after="0"/>
        <w:rPr>
          <w:rFonts w:asciiTheme="minorHAnsi" w:hAnsiTheme="minorHAnsi" w:cstheme="minorHAnsi"/>
          <w:b/>
          <w:sz w:val="24"/>
          <w:szCs w:val="24"/>
        </w:rPr>
      </w:pPr>
    </w:p>
    <w:p w14:paraId="601EDF31" w14:textId="77777777" w:rsidR="00E52163" w:rsidRPr="00DA0EE6" w:rsidRDefault="00E52163" w:rsidP="00167819">
      <w:pPr>
        <w:pStyle w:val="WCPFC"/>
        <w:numPr>
          <w:ilvl w:val="0"/>
          <w:numId w:val="6"/>
        </w:numPr>
        <w:adjustRightInd w:val="0"/>
        <w:spacing w:after="0"/>
        <w:ind w:left="0" w:firstLine="0"/>
        <w:rPr>
          <w:rStyle w:val="Hyperlink"/>
          <w:rFonts w:asciiTheme="minorHAnsi" w:hAnsiTheme="minorHAnsi" w:cstheme="minorHAnsi"/>
          <w:color w:val="auto"/>
        </w:rPr>
      </w:pPr>
      <w:r w:rsidRPr="00DA0EE6">
        <w:rPr>
          <w:rFonts w:asciiTheme="minorHAnsi" w:hAnsiTheme="minorHAnsi" w:cstheme="minorHAnsi"/>
          <w:lang w:val="en-AU"/>
        </w:rPr>
        <w:t>SC14 noted that no stock assessment has been conducted since SC13. Therefore, the advice from SC13 should be maintained to achieve the objectives set in CMM-2017-01, pending a new assessment or other new information. For further information on the management advice and implications from SC13, please see</w:t>
      </w:r>
      <w:r w:rsidRPr="00DA0EE6">
        <w:rPr>
          <w:rFonts w:asciiTheme="minorHAnsi" w:hAnsiTheme="minorHAnsi" w:cstheme="minorHAnsi"/>
          <w:lang w:val="en-AU" w:eastAsia="ko-KR"/>
        </w:rPr>
        <w:t xml:space="preserve"> below.</w:t>
      </w:r>
    </w:p>
    <w:p w14:paraId="1B6552C3" w14:textId="77777777" w:rsidR="00E52163" w:rsidRPr="00DA0EE6" w:rsidRDefault="00E52163" w:rsidP="00167819">
      <w:pPr>
        <w:tabs>
          <w:tab w:val="left" w:pos="840"/>
        </w:tabs>
        <w:adjustRightInd w:val="0"/>
        <w:snapToGrid w:val="0"/>
        <w:spacing w:after="0" w:line="240" w:lineRule="auto"/>
        <w:ind w:right="114"/>
        <w:rPr>
          <w:rFonts w:cstheme="minorHAnsi"/>
          <w:b/>
        </w:rPr>
      </w:pPr>
    </w:p>
    <w:p w14:paraId="653476EC" w14:textId="77777777" w:rsidR="00E52163" w:rsidRPr="00DA0EE6" w:rsidRDefault="00E52163" w:rsidP="00167819">
      <w:pPr>
        <w:pStyle w:val="ListParagraph"/>
        <w:numPr>
          <w:ilvl w:val="0"/>
          <w:numId w:val="5"/>
        </w:numPr>
        <w:adjustRightInd w:val="0"/>
        <w:snapToGrid w:val="0"/>
        <w:ind w:left="0" w:firstLine="0"/>
        <w:rPr>
          <w:rFonts w:asciiTheme="minorHAnsi" w:hAnsiTheme="minorHAnsi" w:cstheme="minorHAnsi"/>
          <w:b/>
          <w:sz w:val="24"/>
          <w:szCs w:val="24"/>
        </w:rPr>
      </w:pPr>
      <w:r w:rsidRPr="00DA0EE6">
        <w:rPr>
          <w:rFonts w:asciiTheme="minorHAnsi" w:hAnsiTheme="minorHAnsi" w:cstheme="minorHAnsi"/>
          <w:b/>
          <w:sz w:val="24"/>
          <w:szCs w:val="24"/>
        </w:rPr>
        <w:t>Research Recommendations</w:t>
      </w:r>
    </w:p>
    <w:p w14:paraId="28C33139" w14:textId="77777777" w:rsidR="00D03F79" w:rsidRPr="00DA0EE6" w:rsidRDefault="00D03F79" w:rsidP="00167819">
      <w:pPr>
        <w:tabs>
          <w:tab w:val="left" w:pos="840"/>
        </w:tabs>
        <w:adjustRightInd w:val="0"/>
        <w:snapToGrid w:val="0"/>
        <w:spacing w:after="0" w:line="240" w:lineRule="auto"/>
        <w:ind w:right="114"/>
        <w:rPr>
          <w:rFonts w:cstheme="minorHAnsi"/>
          <w:b/>
          <w:sz w:val="24"/>
          <w:szCs w:val="24"/>
        </w:rPr>
      </w:pPr>
    </w:p>
    <w:p w14:paraId="63442A5A" w14:textId="77777777" w:rsidR="00E52163" w:rsidRPr="00DA0EE6" w:rsidRDefault="00E52163" w:rsidP="00167819">
      <w:pPr>
        <w:pStyle w:val="WCPFC"/>
        <w:numPr>
          <w:ilvl w:val="0"/>
          <w:numId w:val="6"/>
        </w:numPr>
        <w:adjustRightInd w:val="0"/>
        <w:spacing w:after="0"/>
        <w:ind w:left="0" w:firstLine="0"/>
        <w:rPr>
          <w:rFonts w:asciiTheme="minorHAnsi" w:hAnsiTheme="minorHAnsi" w:cstheme="minorHAnsi"/>
          <w:bCs/>
        </w:rPr>
      </w:pPr>
      <w:r w:rsidRPr="00DA0EE6">
        <w:rPr>
          <w:rFonts w:asciiTheme="minorHAnsi" w:hAnsiTheme="minorHAnsi" w:cstheme="minorHAnsi"/>
          <w:bCs/>
          <w:lang w:val="en-AU"/>
        </w:rPr>
        <w:t>SC14 reviewed the work on age and growth of yellowfin tuna presented in SA-WP-13 and noted that the final results of this projected will be presented to SC15. SC1</w:t>
      </w:r>
      <w:r w:rsidRPr="00DA0EE6">
        <w:rPr>
          <w:rFonts w:asciiTheme="minorHAnsi" w:hAnsiTheme="minorHAnsi" w:cstheme="minorHAnsi"/>
          <w:bCs/>
          <w:lang w:val="en-AU" w:eastAsia="ja-JP"/>
        </w:rPr>
        <w:t>4</w:t>
      </w:r>
      <w:r w:rsidRPr="00DA0EE6">
        <w:rPr>
          <w:rFonts w:asciiTheme="minorHAnsi" w:hAnsiTheme="minorHAnsi" w:cstheme="minorHAnsi"/>
          <w:bCs/>
          <w:lang w:val="en-AU"/>
        </w:rPr>
        <w:t xml:space="preserve"> encouraged analysis of </w:t>
      </w:r>
      <w:r w:rsidRPr="00DA0EE6">
        <w:rPr>
          <w:rFonts w:asciiTheme="minorHAnsi" w:hAnsiTheme="minorHAnsi" w:cstheme="minorHAnsi"/>
          <w:bCs/>
        </w:rPr>
        <w:t xml:space="preserve">the same otoliths by different laboratories, to build confidence in ageing estimates through </w:t>
      </w:r>
      <w:r w:rsidRPr="00DA0EE6">
        <w:rPr>
          <w:rFonts w:asciiTheme="minorHAnsi" w:hAnsiTheme="minorHAnsi" w:cstheme="minorHAnsi"/>
          <w:bCs/>
          <w:lang w:val="en-AU"/>
        </w:rPr>
        <w:t xml:space="preserve">inter laboratory daily-annual age workshop. </w:t>
      </w:r>
    </w:p>
    <w:p w14:paraId="4919A5F2" w14:textId="6343B5D8" w:rsidR="00E52163" w:rsidRPr="00DA0EE6" w:rsidRDefault="00E52163" w:rsidP="00167819">
      <w:pPr>
        <w:adjustRightInd w:val="0"/>
        <w:snapToGrid w:val="0"/>
        <w:spacing w:after="0" w:line="240" w:lineRule="auto"/>
        <w:rPr>
          <w:rFonts w:eastAsiaTheme="majorEastAsia" w:cstheme="minorHAnsi"/>
          <w:color w:val="2F5496" w:themeColor="accent1" w:themeShade="BF"/>
        </w:rPr>
      </w:pPr>
    </w:p>
    <w:p w14:paraId="37A40A3E" w14:textId="77777777" w:rsidR="00167819" w:rsidRPr="00DA0EE6" w:rsidRDefault="00167819" w:rsidP="00167819">
      <w:pPr>
        <w:adjustRightInd w:val="0"/>
        <w:snapToGrid w:val="0"/>
        <w:spacing w:after="0" w:line="240" w:lineRule="auto"/>
        <w:rPr>
          <w:rFonts w:eastAsiaTheme="majorEastAsia" w:cstheme="minorHAnsi"/>
          <w:color w:val="2F5496" w:themeColor="accent1" w:themeShade="BF"/>
        </w:rPr>
      </w:pPr>
    </w:p>
    <w:p w14:paraId="78001A4A" w14:textId="77777777" w:rsidR="004B05DF" w:rsidRPr="00DA0EE6" w:rsidRDefault="004B05DF" w:rsidP="00167819">
      <w:pPr>
        <w:pStyle w:val="Heading1"/>
        <w:adjustRightInd w:val="0"/>
        <w:snapToGrid w:val="0"/>
        <w:spacing w:before="0" w:line="240" w:lineRule="auto"/>
        <w:rPr>
          <w:rFonts w:asciiTheme="minorHAnsi" w:hAnsiTheme="minorHAnsi" w:cstheme="minorHAnsi"/>
        </w:rPr>
      </w:pPr>
      <w:bookmarkStart w:id="5" w:name="_Toc159853631"/>
      <w:r w:rsidRPr="00DA0EE6">
        <w:rPr>
          <w:rFonts w:asciiTheme="minorHAnsi" w:hAnsiTheme="minorHAnsi" w:cstheme="minorHAnsi"/>
        </w:rPr>
        <w:t xml:space="preserve">SC13 2017 </w:t>
      </w:r>
      <w:r w:rsidR="00C73552" w:rsidRPr="00DA0EE6">
        <w:rPr>
          <w:rFonts w:asciiTheme="minorHAnsi" w:hAnsiTheme="minorHAnsi" w:cstheme="minorHAnsi"/>
        </w:rPr>
        <w:t>(STOCK ASSESSMENT CONDUCTED)</w:t>
      </w:r>
      <w:bookmarkEnd w:id="5"/>
    </w:p>
    <w:p w14:paraId="36FD7FDF" w14:textId="77777777" w:rsidR="004B05DF" w:rsidRPr="00DA0EE6" w:rsidRDefault="004B05DF" w:rsidP="00167819">
      <w:pPr>
        <w:adjustRightInd w:val="0"/>
        <w:snapToGrid w:val="0"/>
        <w:spacing w:after="0" w:line="240" w:lineRule="auto"/>
        <w:rPr>
          <w:rFonts w:cstheme="minorHAnsi"/>
        </w:rPr>
      </w:pPr>
    </w:p>
    <w:p w14:paraId="361F5292" w14:textId="77777777" w:rsidR="00140D64" w:rsidRPr="00DA0EE6" w:rsidRDefault="00140D64" w:rsidP="00167819">
      <w:pPr>
        <w:pStyle w:val="WCPFC"/>
        <w:adjustRightInd w:val="0"/>
        <w:spacing w:after="0"/>
        <w:ind w:left="0" w:firstLine="0"/>
        <w:rPr>
          <w:rFonts w:asciiTheme="minorHAnsi" w:hAnsiTheme="minorHAnsi" w:cstheme="minorHAnsi"/>
          <w:bCs/>
        </w:rPr>
      </w:pPr>
      <w:r w:rsidRPr="00DA0EE6">
        <w:rPr>
          <w:rFonts w:asciiTheme="minorHAnsi" w:hAnsiTheme="minorHAnsi" w:cstheme="minorHAnsi"/>
          <w:bCs/>
        </w:rPr>
        <w:t xml:space="preserve">SC13 endorsed the 2017 WCPO yellowfin tuna stock assessment as the most advanced and comprehensive assessment yet conducted for this species. </w:t>
      </w:r>
    </w:p>
    <w:p w14:paraId="1340C429" w14:textId="77777777" w:rsidR="00167819" w:rsidRPr="00DA0EE6" w:rsidRDefault="00167819" w:rsidP="00167819">
      <w:pPr>
        <w:autoSpaceDE w:val="0"/>
        <w:autoSpaceDN w:val="0"/>
        <w:adjustRightInd w:val="0"/>
        <w:snapToGrid w:val="0"/>
        <w:spacing w:after="0" w:line="240" w:lineRule="auto"/>
        <w:jc w:val="both"/>
        <w:rPr>
          <w:rFonts w:eastAsia="Malgun Gothic" w:cstheme="minorHAnsi"/>
          <w:bCs/>
          <w:lang w:val="en-AU"/>
        </w:rPr>
      </w:pPr>
    </w:p>
    <w:p w14:paraId="6AAF8C98" w14:textId="1D424AEA"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 xml:space="preserve">SC13 also endorsed the use of the assessment model uncertainty grid to characterize stock status and management advice and implications. </w:t>
      </w:r>
    </w:p>
    <w:p w14:paraId="6BB19016" w14:textId="77777777" w:rsidR="00140D64" w:rsidRPr="00DA0EE6" w:rsidRDefault="00140D64" w:rsidP="00167819">
      <w:pPr>
        <w:adjustRightInd w:val="0"/>
        <w:snapToGrid w:val="0"/>
        <w:spacing w:after="0" w:line="240" w:lineRule="auto"/>
        <w:ind w:left="720" w:hanging="720"/>
        <w:jc w:val="both"/>
        <w:rPr>
          <w:rFonts w:eastAsia="Malgun Gothic" w:cstheme="minorHAnsi"/>
          <w:bCs/>
          <w:lang w:val="en-AU"/>
        </w:rPr>
      </w:pPr>
    </w:p>
    <w:p w14:paraId="15F19946"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 xml:space="preserve">SC13 reached consensus on the weighting of assessment models in the uncertainty grid for yellowfin tuna. The consensus weighting considered all options within five axes of uncertainty for steepness, tagging dispersion, tag mixing, size frequency (with two levels), and regional structure to be equally likely. The resulting uncertainty grid was used to characterize stock status, to summarize reference </w:t>
      </w:r>
      <w:r w:rsidRPr="00DA0EE6">
        <w:rPr>
          <w:rFonts w:eastAsia="Malgun Gothic" w:cstheme="minorHAnsi"/>
          <w:bCs/>
          <w:lang w:val="en-AU"/>
        </w:rPr>
        <w:lastRenderedPageBreak/>
        <w:t>points as provided in the assessment document SC13-SA-WP-06, and to calculate the probability of breaching the adopted spawning biomass limit reference point (0.2*SB</w:t>
      </w:r>
      <w:r w:rsidRPr="00DA0EE6">
        <w:rPr>
          <w:rFonts w:eastAsia="Malgun Gothic" w:cstheme="minorHAnsi"/>
          <w:bCs/>
          <w:vertAlign w:val="subscript"/>
          <w:lang w:val="en-AU"/>
        </w:rPr>
        <w:t>F=0</w:t>
      </w:r>
      <w:r w:rsidRPr="00DA0EE6">
        <w:rPr>
          <w:rFonts w:eastAsia="Malgun Gothic" w:cstheme="minorHAnsi"/>
          <w:bCs/>
          <w:lang w:val="en-AU"/>
        </w:rPr>
        <w:t>) and the probability of F</w:t>
      </w:r>
      <w:r w:rsidRPr="00DA0EE6">
        <w:rPr>
          <w:rFonts w:eastAsia="Malgun Gothic" w:cstheme="minorHAnsi"/>
          <w:bCs/>
          <w:vertAlign w:val="subscript"/>
          <w:lang w:val="en-AU"/>
        </w:rPr>
        <w:t>recent</w:t>
      </w:r>
      <w:r w:rsidRPr="00DA0EE6">
        <w:rPr>
          <w:rFonts w:eastAsia="Malgun Gothic" w:cstheme="minorHAnsi"/>
          <w:bCs/>
          <w:lang w:val="en-AU"/>
        </w:rPr>
        <w:t xml:space="preserve"> being greater than F</w:t>
      </w:r>
      <w:r w:rsidRPr="00DA0EE6">
        <w:rPr>
          <w:rFonts w:eastAsia="Malgun Gothic" w:cstheme="minorHAnsi"/>
          <w:bCs/>
          <w:vertAlign w:val="subscript"/>
          <w:lang w:val="en-AU" w:eastAsia="ko-KR"/>
        </w:rPr>
        <w:t>MSY</w:t>
      </w:r>
      <w:r w:rsidRPr="00DA0EE6">
        <w:rPr>
          <w:rFonts w:eastAsia="Malgun Gothic" w:cstheme="minorHAnsi"/>
          <w:bCs/>
          <w:lang w:val="en-AU"/>
        </w:rPr>
        <w:t>.</w:t>
      </w:r>
    </w:p>
    <w:p w14:paraId="7091E0E1" w14:textId="77777777" w:rsidR="00140D64" w:rsidRPr="00DA0EE6" w:rsidRDefault="00140D64" w:rsidP="00167819">
      <w:pPr>
        <w:adjustRightInd w:val="0"/>
        <w:snapToGrid w:val="0"/>
        <w:spacing w:after="0" w:line="240" w:lineRule="auto"/>
        <w:ind w:left="720" w:hanging="720"/>
        <w:jc w:val="both"/>
        <w:rPr>
          <w:rFonts w:eastAsia="Malgun Gothic" w:cstheme="minorHAnsi"/>
          <w:b/>
          <w:lang w:val="en-AU"/>
        </w:rPr>
      </w:pPr>
    </w:p>
    <w:p w14:paraId="276CF866" w14:textId="77777777" w:rsidR="00140D64" w:rsidRPr="00DA0EE6" w:rsidRDefault="00140D64" w:rsidP="00167819">
      <w:pPr>
        <w:numPr>
          <w:ilvl w:val="0"/>
          <w:numId w:val="4"/>
        </w:numPr>
        <w:adjustRightInd w:val="0"/>
        <w:snapToGrid w:val="0"/>
        <w:spacing w:after="0" w:line="240" w:lineRule="auto"/>
        <w:jc w:val="both"/>
        <w:rPr>
          <w:rFonts w:eastAsia="Malgun Gothic" w:cstheme="minorHAnsi"/>
          <w:b/>
          <w:lang w:val="en-NZ" w:eastAsia="en-NZ"/>
        </w:rPr>
      </w:pPr>
      <w:r w:rsidRPr="00DA0EE6">
        <w:rPr>
          <w:rFonts w:eastAsia="Malgun Gothic" w:cstheme="minorHAnsi"/>
          <w:b/>
          <w:lang w:val="en-NZ" w:eastAsia="en-NZ"/>
        </w:rPr>
        <w:t>S</w:t>
      </w:r>
      <w:r w:rsidRPr="00DA0EE6">
        <w:rPr>
          <w:rFonts w:eastAsia="Malgun Gothic" w:cstheme="minorHAnsi"/>
          <w:b/>
          <w:lang w:val="en-NZ" w:eastAsia="ko-KR"/>
        </w:rPr>
        <w:t>tock s</w:t>
      </w:r>
      <w:r w:rsidRPr="00DA0EE6">
        <w:rPr>
          <w:rFonts w:eastAsia="Malgun Gothic" w:cstheme="minorHAnsi"/>
          <w:b/>
          <w:lang w:val="en-NZ" w:eastAsia="en-NZ"/>
        </w:rPr>
        <w:t xml:space="preserve">tatus and trends </w:t>
      </w:r>
    </w:p>
    <w:p w14:paraId="1A8220D2" w14:textId="77777777" w:rsidR="00140D64" w:rsidRPr="00DA0EE6" w:rsidRDefault="00140D64" w:rsidP="00167819">
      <w:pPr>
        <w:adjustRightInd w:val="0"/>
        <w:snapToGrid w:val="0"/>
        <w:spacing w:after="0" w:line="240" w:lineRule="auto"/>
        <w:ind w:left="720"/>
        <w:jc w:val="both"/>
        <w:rPr>
          <w:rFonts w:eastAsia="Malgun Gothic" w:cstheme="minorHAnsi"/>
          <w:b/>
          <w:lang w:val="en-NZ" w:eastAsia="en-NZ"/>
        </w:rPr>
      </w:pPr>
    </w:p>
    <w:p w14:paraId="0D31E1DF"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The median values of relative recent spawning biomass (2012-2015) (SB</w:t>
      </w:r>
      <w:r w:rsidRPr="00DA0EE6">
        <w:rPr>
          <w:rFonts w:eastAsia="Malgun Gothic" w:cstheme="minorHAnsi"/>
          <w:bCs/>
          <w:vertAlign w:val="subscript"/>
          <w:lang w:val="en-AU"/>
        </w:rPr>
        <w:t>recent</w:t>
      </w:r>
      <w:r w:rsidRPr="00DA0EE6">
        <w:rPr>
          <w:rFonts w:eastAsia="Malgun Gothic" w:cstheme="minorHAnsi"/>
          <w:bCs/>
          <w:lang w:val="en-AU"/>
        </w:rPr>
        <w:t>/SB</w:t>
      </w:r>
      <w:r w:rsidRPr="00DA0EE6">
        <w:rPr>
          <w:rFonts w:eastAsia="Malgun Gothic" w:cstheme="minorHAnsi"/>
          <w:bCs/>
          <w:vertAlign w:val="subscript"/>
          <w:lang w:val="en-AU"/>
        </w:rPr>
        <w:t>F=0</w:t>
      </w:r>
      <w:r w:rsidRPr="00DA0EE6">
        <w:rPr>
          <w:rFonts w:eastAsia="Malgun Gothic" w:cstheme="minorHAnsi"/>
          <w:bCs/>
          <w:lang w:val="en-AU"/>
        </w:rPr>
        <w:t>) and relative recent fishing mortality (F</w:t>
      </w:r>
      <w:r w:rsidRPr="00DA0EE6">
        <w:rPr>
          <w:rFonts w:eastAsia="Malgun Gothic" w:cstheme="minorHAnsi"/>
          <w:bCs/>
          <w:vertAlign w:val="subscript"/>
          <w:lang w:val="en-AU"/>
        </w:rPr>
        <w:t>recent</w:t>
      </w:r>
      <w:r w:rsidRPr="00DA0EE6">
        <w:rPr>
          <w:rFonts w:eastAsia="Malgun Gothic" w:cstheme="minorHAnsi"/>
          <w:bCs/>
          <w:lang w:val="en-AU"/>
        </w:rPr>
        <w:t>/F</w:t>
      </w:r>
      <w:r w:rsidRPr="00DA0EE6">
        <w:rPr>
          <w:rFonts w:eastAsia="Malgun Gothic" w:cstheme="minorHAnsi"/>
          <w:bCs/>
          <w:vertAlign w:val="subscript"/>
          <w:lang w:val="en-AU" w:eastAsia="ko-KR"/>
        </w:rPr>
        <w:t>MSY</w:t>
      </w:r>
      <w:r w:rsidRPr="00DA0EE6">
        <w:rPr>
          <w:rFonts w:eastAsia="Malgun Gothic" w:cstheme="minorHAnsi"/>
          <w:bCs/>
          <w:lang w:val="en-AU"/>
        </w:rPr>
        <w:t>)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w:t>
      </w:r>
    </w:p>
    <w:p w14:paraId="4DB2E9B9" w14:textId="77777777" w:rsidR="00140D64" w:rsidRPr="00DA0EE6" w:rsidRDefault="00140D64" w:rsidP="00167819">
      <w:pPr>
        <w:autoSpaceDE w:val="0"/>
        <w:autoSpaceDN w:val="0"/>
        <w:adjustRightInd w:val="0"/>
        <w:snapToGrid w:val="0"/>
        <w:spacing w:after="0" w:line="240" w:lineRule="auto"/>
        <w:jc w:val="both"/>
        <w:rPr>
          <w:rFonts w:eastAsia="Malgun Gothic" w:cstheme="minorHAnsi"/>
          <w:bCs/>
          <w:lang w:val="en-AU"/>
        </w:rPr>
      </w:pPr>
    </w:p>
    <w:p w14:paraId="63BD4382"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 xml:space="preserve">Descriptions of the updated structural sensitivity grid used to characterize uncertainty in the assessment are provided in Table YFT-1. Catch </w:t>
      </w:r>
      <w:r w:rsidRPr="00DA0EE6">
        <w:rPr>
          <w:rFonts w:eastAsia="Malgun Gothic" w:cstheme="minorHAnsi"/>
          <w:bCs/>
          <w:lang w:val="en-AU" w:eastAsia="ko-KR"/>
        </w:rPr>
        <w:t>t</w:t>
      </w:r>
      <w:r w:rsidRPr="00DA0EE6">
        <w:rPr>
          <w:rFonts w:eastAsia="Malgun Gothic" w:cstheme="minorHAnsi"/>
          <w:bCs/>
          <w:lang w:val="en-AU"/>
        </w:rPr>
        <w:t xml:space="preserve">rend data is presented in Figure YFT-1.  Estimated annual average recruitment, biomass, fishing mortality and depletion are shown in Figures YFT-2 – YFT-5. Majuro plots summarizing the results for each of the models in the structural uncertainty grid retained for management advice are represented in Figures YFT-6 and YFT-7. Figure YFT-8 and YFT-9 present Kobe plots summarizing the results for each of the models in the structural uncertainty grid. </w:t>
      </w:r>
      <w:r w:rsidRPr="00DA0EE6">
        <w:rPr>
          <w:rFonts w:eastAsia="Malgun Gothic" w:cstheme="minorHAnsi"/>
          <w:bCs/>
          <w:lang w:val="en-AU" w:eastAsia="ko-KR"/>
        </w:rPr>
        <w:t>Figure YFT-10 provides estimated</w:t>
      </w:r>
      <w:r w:rsidRPr="00DA0EE6">
        <w:rPr>
          <w:rFonts w:eastAsia="Malgun Gothic" w:cstheme="minorHAnsi"/>
          <w:bCs/>
          <w:lang w:val="en-NZ"/>
        </w:rPr>
        <w:t xml:space="preserve"> time-series (or “dynamic”) Majuro and Kobe plots from the yellowfin ‘diagnostic case’ model run.</w:t>
      </w:r>
      <w:r w:rsidRPr="00DA0EE6">
        <w:rPr>
          <w:rFonts w:eastAsia="Malgun Gothic" w:cstheme="minorHAnsi"/>
          <w:bCs/>
          <w:lang w:val="en-NZ" w:eastAsia="ko-KR"/>
        </w:rPr>
        <w:t xml:space="preserve"> </w:t>
      </w:r>
      <w:r w:rsidRPr="00DA0EE6">
        <w:rPr>
          <w:rFonts w:eastAsia="Malgun Gothic" w:cstheme="minorHAnsi"/>
          <w:bCs/>
          <w:lang w:val="en-AU"/>
        </w:rPr>
        <w:t>Figure YFT-1</w:t>
      </w:r>
      <w:r w:rsidRPr="00DA0EE6">
        <w:rPr>
          <w:rFonts w:eastAsia="Malgun Gothic" w:cstheme="minorHAnsi"/>
          <w:bCs/>
          <w:lang w:val="en-AU" w:eastAsia="ko-KR"/>
        </w:rPr>
        <w:t>1 shows</w:t>
      </w:r>
      <w:r w:rsidRPr="00DA0EE6">
        <w:rPr>
          <w:rFonts w:eastAsia="Malgun Gothic" w:cstheme="minorHAnsi"/>
          <w:bCs/>
          <w:lang w:val="en-AU"/>
        </w:rPr>
        <w:t xml:space="preserve"> </w:t>
      </w:r>
      <w:r w:rsidRPr="00DA0EE6">
        <w:rPr>
          <w:rFonts w:eastAsia="Malgun Gothic" w:cstheme="minorHAnsi"/>
          <w:bCs/>
          <w:lang w:val="en-AU" w:eastAsia="ko-KR"/>
        </w:rPr>
        <w:t>e</w:t>
      </w:r>
      <w:r w:rsidRPr="00DA0EE6">
        <w:rPr>
          <w:rFonts w:eastAsia="Malgun Gothic" w:cstheme="minorHAnsi"/>
          <w:bCs/>
          <w:lang w:val="en-AU"/>
        </w:rPr>
        <w:t xml:space="preserve">stimates of reduction in spawning potential due to fishing by region, and over all regions attributed to various fishery groups (gear-types) for the diagnostic case model.  Table YFT-2 </w:t>
      </w:r>
      <w:r w:rsidRPr="00DA0EE6">
        <w:rPr>
          <w:rFonts w:eastAsia="Malgun Gothic" w:cstheme="minorHAnsi"/>
          <w:bCs/>
          <w:lang w:val="en-AU" w:eastAsia="ko-KR"/>
        </w:rPr>
        <w:t>p</w:t>
      </w:r>
      <w:r w:rsidRPr="00DA0EE6">
        <w:rPr>
          <w:rFonts w:eastAsia="Malgun Gothic" w:cstheme="minorHAnsi"/>
          <w:bCs/>
          <w:lang w:val="en-AU"/>
        </w:rPr>
        <w:t>rovides a summary of reference points over the 48 models in the structural uncertainty grid</w:t>
      </w:r>
      <w:r w:rsidRPr="00DA0EE6">
        <w:rPr>
          <w:rFonts w:eastAsia="Malgun Gothic" w:cstheme="minorHAnsi"/>
          <w:bCs/>
          <w:lang w:val="en-AU" w:eastAsia="ko-KR"/>
        </w:rPr>
        <w:t xml:space="preserve"> </w:t>
      </w:r>
      <w:r w:rsidRPr="00DA0EE6">
        <w:rPr>
          <w:rFonts w:eastAsia="Malgun Gothic" w:cstheme="minorHAnsi"/>
          <w:bCs/>
          <w:lang w:val="en-AU"/>
        </w:rPr>
        <w:t>(based on the SC decision to include size frequency weighting levels 20 and 50 only).</w:t>
      </w:r>
    </w:p>
    <w:p w14:paraId="6ED3C23E" w14:textId="77777777" w:rsidR="00140D64" w:rsidRPr="00DA0EE6" w:rsidRDefault="00140D64" w:rsidP="00167819">
      <w:pPr>
        <w:autoSpaceDE w:val="0"/>
        <w:autoSpaceDN w:val="0"/>
        <w:adjustRightInd w:val="0"/>
        <w:snapToGrid w:val="0"/>
        <w:spacing w:after="0" w:line="240" w:lineRule="auto"/>
        <w:jc w:val="both"/>
        <w:rPr>
          <w:rFonts w:eastAsia="Malgun Gothic" w:cstheme="minorHAnsi"/>
          <w:b/>
          <w:lang w:val="en-AU"/>
        </w:rPr>
      </w:pPr>
    </w:p>
    <w:p w14:paraId="4CCFB391" w14:textId="31C348D4" w:rsidR="00140D64" w:rsidRPr="00DA0EE6" w:rsidRDefault="00140D64" w:rsidP="00167819">
      <w:pPr>
        <w:adjustRightInd w:val="0"/>
        <w:snapToGrid w:val="0"/>
        <w:spacing w:after="0" w:line="240" w:lineRule="auto"/>
        <w:rPr>
          <w:rFonts w:eastAsia="Malgun Gothic" w:cstheme="minorHAnsi"/>
          <w:lang w:val="en-NZ" w:eastAsia="en-NZ"/>
        </w:rPr>
      </w:pPr>
      <w:r w:rsidRPr="00DA0EE6">
        <w:rPr>
          <w:rFonts w:eastAsia="Malgun Gothic" w:cstheme="minorHAnsi"/>
          <w:b/>
          <w:lang w:val="en-NZ" w:eastAsia="en-NZ"/>
        </w:rPr>
        <w:t xml:space="preserve">Table YFT-1: </w:t>
      </w:r>
      <w:r w:rsidRPr="00DA0EE6">
        <w:rPr>
          <w:rFonts w:eastAsia="Malgun Gothic" w:cstheme="minorHAnsi"/>
          <w:lang w:val="en-NZ" w:eastAsia="en-NZ"/>
        </w:rPr>
        <w:t>Description of the updated structural sensitivity grid used to characterize uncertainty in the assessment</w:t>
      </w:r>
    </w:p>
    <w:tbl>
      <w:tblPr>
        <w:tblW w:w="5000" w:type="pct"/>
        <w:tblLook w:val="04A0" w:firstRow="1" w:lastRow="0" w:firstColumn="1" w:lastColumn="0" w:noHBand="0" w:noVBand="1"/>
      </w:tblPr>
      <w:tblGrid>
        <w:gridCol w:w="3165"/>
        <w:gridCol w:w="1376"/>
        <w:gridCol w:w="4819"/>
      </w:tblGrid>
      <w:tr w:rsidR="00140D64" w:rsidRPr="00DA0EE6" w14:paraId="6B12B974" w14:textId="77777777" w:rsidTr="009C236C">
        <w:tc>
          <w:tcPr>
            <w:tcW w:w="1691" w:type="pct"/>
            <w:tcBorders>
              <w:top w:val="single" w:sz="12" w:space="0" w:color="auto"/>
              <w:left w:val="nil"/>
              <w:bottom w:val="single" w:sz="12" w:space="0" w:color="auto"/>
              <w:right w:val="nil"/>
            </w:tcBorders>
            <w:shd w:val="clear" w:color="auto" w:fill="auto"/>
            <w:vAlign w:val="center"/>
            <w:hideMark/>
          </w:tcPr>
          <w:p w14:paraId="5728A302" w14:textId="77777777" w:rsidR="00140D64" w:rsidRPr="00DA0EE6" w:rsidRDefault="00140D64" w:rsidP="00167819">
            <w:pPr>
              <w:adjustRightInd w:val="0"/>
              <w:snapToGrid w:val="0"/>
              <w:spacing w:after="0" w:line="240" w:lineRule="auto"/>
              <w:jc w:val="both"/>
              <w:rPr>
                <w:rFonts w:eastAsia="PMingLiU" w:cstheme="minorHAnsi"/>
                <w:b/>
                <w:lang w:val="en-AU" w:eastAsia="en-AU"/>
              </w:rPr>
            </w:pPr>
            <w:r w:rsidRPr="00DA0EE6">
              <w:rPr>
                <w:rFonts w:eastAsia="PMingLiU" w:cstheme="minorHAnsi"/>
                <w:b/>
                <w:lang w:val="en-AU" w:eastAsia="en-AU"/>
              </w:rPr>
              <w:t>Axis</w:t>
            </w:r>
          </w:p>
        </w:tc>
        <w:tc>
          <w:tcPr>
            <w:tcW w:w="735" w:type="pct"/>
            <w:tcBorders>
              <w:top w:val="single" w:sz="12" w:space="0" w:color="auto"/>
              <w:left w:val="nil"/>
              <w:bottom w:val="single" w:sz="12" w:space="0" w:color="auto"/>
              <w:right w:val="nil"/>
            </w:tcBorders>
            <w:shd w:val="clear" w:color="auto" w:fill="auto"/>
            <w:vAlign w:val="center"/>
            <w:hideMark/>
          </w:tcPr>
          <w:p w14:paraId="4D025BB1" w14:textId="77777777" w:rsidR="00140D64" w:rsidRPr="00DA0EE6" w:rsidRDefault="00140D64" w:rsidP="00167819">
            <w:pPr>
              <w:adjustRightInd w:val="0"/>
              <w:snapToGrid w:val="0"/>
              <w:spacing w:after="0" w:line="240" w:lineRule="auto"/>
              <w:jc w:val="both"/>
              <w:rPr>
                <w:rFonts w:eastAsia="PMingLiU" w:cstheme="minorHAnsi"/>
                <w:b/>
                <w:lang w:val="en-AU" w:eastAsia="en-AU"/>
              </w:rPr>
            </w:pPr>
            <w:r w:rsidRPr="00DA0EE6">
              <w:rPr>
                <w:rFonts w:eastAsia="PMingLiU" w:cstheme="minorHAnsi"/>
                <w:b/>
                <w:lang w:val="en-AU" w:eastAsia="en-AU"/>
              </w:rPr>
              <w:t>Levels</w:t>
            </w:r>
          </w:p>
        </w:tc>
        <w:tc>
          <w:tcPr>
            <w:tcW w:w="2573" w:type="pct"/>
            <w:tcBorders>
              <w:top w:val="single" w:sz="12" w:space="0" w:color="auto"/>
              <w:left w:val="nil"/>
              <w:bottom w:val="single" w:sz="12" w:space="0" w:color="auto"/>
              <w:right w:val="nil"/>
            </w:tcBorders>
            <w:shd w:val="clear" w:color="auto" w:fill="auto"/>
            <w:vAlign w:val="center"/>
            <w:hideMark/>
          </w:tcPr>
          <w:p w14:paraId="6E847894" w14:textId="77777777" w:rsidR="00140D64" w:rsidRPr="00DA0EE6" w:rsidRDefault="00140D64" w:rsidP="00167819">
            <w:pPr>
              <w:adjustRightInd w:val="0"/>
              <w:snapToGrid w:val="0"/>
              <w:spacing w:after="0" w:line="240" w:lineRule="auto"/>
              <w:jc w:val="both"/>
              <w:rPr>
                <w:rFonts w:eastAsia="PMingLiU" w:cstheme="minorHAnsi"/>
                <w:b/>
                <w:lang w:val="en-AU" w:eastAsia="en-AU"/>
              </w:rPr>
            </w:pPr>
            <w:r w:rsidRPr="00DA0EE6">
              <w:rPr>
                <w:rFonts w:eastAsia="PMingLiU" w:cstheme="minorHAnsi"/>
                <w:b/>
                <w:lang w:val="en-AU" w:eastAsia="en-AU"/>
              </w:rPr>
              <w:t>Option</w:t>
            </w:r>
          </w:p>
        </w:tc>
      </w:tr>
      <w:tr w:rsidR="00140D64" w:rsidRPr="00DA0EE6" w14:paraId="2EA8A170" w14:textId="77777777" w:rsidTr="009C236C">
        <w:tc>
          <w:tcPr>
            <w:tcW w:w="1691" w:type="pct"/>
            <w:tcBorders>
              <w:top w:val="single" w:sz="12" w:space="0" w:color="auto"/>
              <w:left w:val="nil"/>
              <w:bottom w:val="nil"/>
              <w:right w:val="nil"/>
            </w:tcBorders>
            <w:shd w:val="clear" w:color="auto" w:fill="auto"/>
            <w:vAlign w:val="center"/>
            <w:hideMark/>
          </w:tcPr>
          <w:p w14:paraId="4861825D"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Steepness</w:t>
            </w:r>
          </w:p>
        </w:tc>
        <w:tc>
          <w:tcPr>
            <w:tcW w:w="735" w:type="pct"/>
            <w:tcBorders>
              <w:top w:val="single" w:sz="12" w:space="0" w:color="auto"/>
              <w:left w:val="nil"/>
              <w:bottom w:val="nil"/>
              <w:right w:val="nil"/>
            </w:tcBorders>
            <w:shd w:val="clear" w:color="auto" w:fill="auto"/>
            <w:vAlign w:val="center"/>
            <w:hideMark/>
          </w:tcPr>
          <w:p w14:paraId="5FD300ED" w14:textId="77777777" w:rsidR="00140D64" w:rsidRPr="00DA0EE6" w:rsidRDefault="00140D64" w:rsidP="00167819">
            <w:pPr>
              <w:adjustRightInd w:val="0"/>
              <w:snapToGrid w:val="0"/>
              <w:spacing w:after="0" w:line="240" w:lineRule="auto"/>
              <w:jc w:val="center"/>
              <w:rPr>
                <w:rFonts w:eastAsia="PMingLiU" w:cstheme="minorHAnsi"/>
                <w:lang w:val="en-AU" w:eastAsia="en-AU"/>
              </w:rPr>
            </w:pPr>
            <w:r w:rsidRPr="00DA0EE6">
              <w:rPr>
                <w:rFonts w:eastAsia="PMingLiU" w:cstheme="minorHAnsi"/>
                <w:lang w:val="en-AU" w:eastAsia="en-AU"/>
              </w:rPr>
              <w:t>3</w:t>
            </w:r>
          </w:p>
        </w:tc>
        <w:tc>
          <w:tcPr>
            <w:tcW w:w="2573" w:type="pct"/>
            <w:tcBorders>
              <w:top w:val="single" w:sz="12" w:space="0" w:color="auto"/>
              <w:left w:val="nil"/>
              <w:bottom w:val="nil"/>
              <w:right w:val="nil"/>
            </w:tcBorders>
            <w:shd w:val="clear" w:color="auto" w:fill="auto"/>
            <w:vAlign w:val="center"/>
            <w:hideMark/>
          </w:tcPr>
          <w:p w14:paraId="3CD76774"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0.65, 0.80, 0.95</w:t>
            </w:r>
          </w:p>
        </w:tc>
      </w:tr>
      <w:tr w:rsidR="00140D64" w:rsidRPr="00DA0EE6" w14:paraId="0D955D50" w14:textId="77777777" w:rsidTr="009C236C">
        <w:tc>
          <w:tcPr>
            <w:tcW w:w="1691" w:type="pct"/>
            <w:shd w:val="clear" w:color="auto" w:fill="auto"/>
            <w:vAlign w:val="center"/>
            <w:hideMark/>
          </w:tcPr>
          <w:p w14:paraId="1646066E"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Tagging overdispersion</w:t>
            </w:r>
          </w:p>
        </w:tc>
        <w:tc>
          <w:tcPr>
            <w:tcW w:w="735" w:type="pct"/>
            <w:shd w:val="clear" w:color="auto" w:fill="auto"/>
            <w:vAlign w:val="center"/>
            <w:hideMark/>
          </w:tcPr>
          <w:p w14:paraId="17715B0B" w14:textId="77777777" w:rsidR="00140D64" w:rsidRPr="00DA0EE6" w:rsidRDefault="00140D64" w:rsidP="00167819">
            <w:pPr>
              <w:adjustRightInd w:val="0"/>
              <w:snapToGrid w:val="0"/>
              <w:spacing w:after="0" w:line="240" w:lineRule="auto"/>
              <w:jc w:val="center"/>
              <w:rPr>
                <w:rFonts w:eastAsia="PMingLiU" w:cstheme="minorHAnsi"/>
                <w:lang w:val="en-AU" w:eastAsia="en-AU"/>
              </w:rPr>
            </w:pPr>
            <w:r w:rsidRPr="00DA0EE6">
              <w:rPr>
                <w:rFonts w:eastAsia="PMingLiU" w:cstheme="minorHAnsi"/>
                <w:lang w:val="en-AU" w:eastAsia="en-AU"/>
              </w:rPr>
              <w:t>2</w:t>
            </w:r>
          </w:p>
        </w:tc>
        <w:tc>
          <w:tcPr>
            <w:tcW w:w="2573" w:type="pct"/>
            <w:shd w:val="clear" w:color="auto" w:fill="auto"/>
            <w:vAlign w:val="center"/>
            <w:hideMark/>
          </w:tcPr>
          <w:p w14:paraId="72BE677F"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Default level (1), fixed (moderate) level</w:t>
            </w:r>
          </w:p>
        </w:tc>
      </w:tr>
      <w:tr w:rsidR="00140D64" w:rsidRPr="00DA0EE6" w14:paraId="7DB47384" w14:textId="77777777" w:rsidTr="009C236C">
        <w:tc>
          <w:tcPr>
            <w:tcW w:w="1691" w:type="pct"/>
            <w:shd w:val="clear" w:color="auto" w:fill="auto"/>
            <w:vAlign w:val="center"/>
            <w:hideMark/>
          </w:tcPr>
          <w:p w14:paraId="36298860"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Tag mixing</w:t>
            </w:r>
          </w:p>
        </w:tc>
        <w:tc>
          <w:tcPr>
            <w:tcW w:w="735" w:type="pct"/>
            <w:shd w:val="clear" w:color="auto" w:fill="auto"/>
            <w:vAlign w:val="center"/>
            <w:hideMark/>
          </w:tcPr>
          <w:p w14:paraId="72619B32" w14:textId="77777777" w:rsidR="00140D64" w:rsidRPr="00DA0EE6" w:rsidRDefault="00140D64" w:rsidP="00167819">
            <w:pPr>
              <w:adjustRightInd w:val="0"/>
              <w:snapToGrid w:val="0"/>
              <w:spacing w:after="0" w:line="240" w:lineRule="auto"/>
              <w:jc w:val="center"/>
              <w:rPr>
                <w:rFonts w:eastAsia="PMingLiU" w:cstheme="minorHAnsi"/>
                <w:lang w:val="en-AU" w:eastAsia="en-AU"/>
              </w:rPr>
            </w:pPr>
            <w:r w:rsidRPr="00DA0EE6">
              <w:rPr>
                <w:rFonts w:eastAsia="PMingLiU" w:cstheme="minorHAnsi"/>
                <w:lang w:val="en-AU" w:eastAsia="en-AU"/>
              </w:rPr>
              <w:t>2</w:t>
            </w:r>
          </w:p>
        </w:tc>
        <w:tc>
          <w:tcPr>
            <w:tcW w:w="2573" w:type="pct"/>
            <w:shd w:val="clear" w:color="auto" w:fill="auto"/>
            <w:vAlign w:val="center"/>
            <w:hideMark/>
          </w:tcPr>
          <w:p w14:paraId="258BC294"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1 or 2 quarters</w:t>
            </w:r>
          </w:p>
        </w:tc>
      </w:tr>
      <w:tr w:rsidR="00140D64" w:rsidRPr="00DA0EE6" w14:paraId="682625A6" w14:textId="77777777" w:rsidTr="009C236C">
        <w:tc>
          <w:tcPr>
            <w:tcW w:w="1691" w:type="pct"/>
            <w:shd w:val="clear" w:color="auto" w:fill="auto"/>
            <w:vAlign w:val="center"/>
            <w:hideMark/>
          </w:tcPr>
          <w:p w14:paraId="0EC0814C"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Size frequency weighting</w:t>
            </w:r>
          </w:p>
        </w:tc>
        <w:tc>
          <w:tcPr>
            <w:tcW w:w="735" w:type="pct"/>
            <w:shd w:val="clear" w:color="auto" w:fill="auto"/>
            <w:vAlign w:val="center"/>
            <w:hideMark/>
          </w:tcPr>
          <w:p w14:paraId="0A2CFB48" w14:textId="77777777" w:rsidR="00140D64" w:rsidRPr="00DA0EE6" w:rsidRDefault="00140D64" w:rsidP="00167819">
            <w:pPr>
              <w:adjustRightInd w:val="0"/>
              <w:snapToGrid w:val="0"/>
              <w:spacing w:after="0" w:line="240" w:lineRule="auto"/>
              <w:jc w:val="center"/>
              <w:rPr>
                <w:rFonts w:eastAsia="PMingLiU" w:cstheme="minorHAnsi"/>
                <w:lang w:val="en-AU" w:eastAsia="en-AU"/>
              </w:rPr>
            </w:pPr>
            <w:r w:rsidRPr="00DA0EE6">
              <w:rPr>
                <w:rFonts w:eastAsia="PMingLiU" w:cstheme="minorHAnsi"/>
                <w:lang w:val="en-AU" w:eastAsia="en-AU"/>
              </w:rPr>
              <w:t>3</w:t>
            </w:r>
          </w:p>
        </w:tc>
        <w:tc>
          <w:tcPr>
            <w:tcW w:w="2573" w:type="pct"/>
            <w:shd w:val="clear" w:color="auto" w:fill="auto"/>
            <w:vAlign w:val="center"/>
            <w:hideMark/>
          </w:tcPr>
          <w:p w14:paraId="7AB0B53F"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Sample sizes divided by 10, 20, 50</w:t>
            </w:r>
          </w:p>
        </w:tc>
      </w:tr>
      <w:tr w:rsidR="00140D64" w:rsidRPr="00DA0EE6" w14:paraId="330B1D6D" w14:textId="77777777" w:rsidTr="009C236C">
        <w:tc>
          <w:tcPr>
            <w:tcW w:w="1691" w:type="pct"/>
            <w:tcBorders>
              <w:top w:val="nil"/>
              <w:left w:val="nil"/>
              <w:bottom w:val="single" w:sz="12" w:space="0" w:color="auto"/>
              <w:right w:val="nil"/>
            </w:tcBorders>
            <w:shd w:val="clear" w:color="auto" w:fill="auto"/>
            <w:vAlign w:val="center"/>
            <w:hideMark/>
          </w:tcPr>
          <w:p w14:paraId="1A7F4393"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Regional structure</w:t>
            </w:r>
          </w:p>
        </w:tc>
        <w:tc>
          <w:tcPr>
            <w:tcW w:w="735" w:type="pct"/>
            <w:tcBorders>
              <w:top w:val="nil"/>
              <w:left w:val="nil"/>
              <w:bottom w:val="single" w:sz="12" w:space="0" w:color="auto"/>
              <w:right w:val="nil"/>
            </w:tcBorders>
            <w:shd w:val="clear" w:color="auto" w:fill="auto"/>
            <w:vAlign w:val="center"/>
            <w:hideMark/>
          </w:tcPr>
          <w:p w14:paraId="1F5011F5" w14:textId="77777777" w:rsidR="00140D64" w:rsidRPr="00DA0EE6" w:rsidRDefault="00140D64" w:rsidP="00167819">
            <w:pPr>
              <w:adjustRightInd w:val="0"/>
              <w:snapToGrid w:val="0"/>
              <w:spacing w:after="0" w:line="240" w:lineRule="auto"/>
              <w:jc w:val="center"/>
              <w:rPr>
                <w:rFonts w:eastAsia="PMingLiU" w:cstheme="minorHAnsi"/>
                <w:lang w:val="en-AU" w:eastAsia="en-AU"/>
              </w:rPr>
            </w:pPr>
            <w:r w:rsidRPr="00DA0EE6">
              <w:rPr>
                <w:rFonts w:eastAsia="PMingLiU" w:cstheme="minorHAnsi"/>
                <w:lang w:val="en-AU" w:eastAsia="en-AU"/>
              </w:rPr>
              <w:t>2</w:t>
            </w:r>
          </w:p>
        </w:tc>
        <w:tc>
          <w:tcPr>
            <w:tcW w:w="2573" w:type="pct"/>
            <w:tcBorders>
              <w:top w:val="nil"/>
              <w:left w:val="nil"/>
              <w:bottom w:val="single" w:sz="12" w:space="0" w:color="auto"/>
              <w:right w:val="nil"/>
            </w:tcBorders>
            <w:shd w:val="clear" w:color="auto" w:fill="auto"/>
            <w:vAlign w:val="center"/>
            <w:hideMark/>
          </w:tcPr>
          <w:p w14:paraId="5DCD9648" w14:textId="77777777" w:rsidR="00140D64" w:rsidRPr="00DA0EE6" w:rsidRDefault="00140D64" w:rsidP="00167819">
            <w:pPr>
              <w:adjustRightInd w:val="0"/>
              <w:snapToGrid w:val="0"/>
              <w:spacing w:after="0" w:line="240" w:lineRule="auto"/>
              <w:jc w:val="both"/>
              <w:rPr>
                <w:rFonts w:eastAsia="PMingLiU" w:cstheme="minorHAnsi"/>
                <w:lang w:val="en-AU" w:eastAsia="en-AU"/>
              </w:rPr>
            </w:pPr>
            <w:r w:rsidRPr="00DA0EE6">
              <w:rPr>
                <w:rFonts w:eastAsia="PMingLiU" w:cstheme="minorHAnsi"/>
                <w:lang w:val="en-AU" w:eastAsia="en-AU"/>
              </w:rPr>
              <w:t>2017 regions, 2014 regions</w:t>
            </w:r>
          </w:p>
        </w:tc>
      </w:tr>
    </w:tbl>
    <w:p w14:paraId="37F20136" w14:textId="77777777" w:rsidR="00140D64" w:rsidRPr="00DA0EE6" w:rsidRDefault="00140D64" w:rsidP="00167819">
      <w:pPr>
        <w:adjustRightInd w:val="0"/>
        <w:snapToGrid w:val="0"/>
        <w:spacing w:after="0" w:line="240" w:lineRule="auto"/>
        <w:ind w:left="567"/>
        <w:jc w:val="both"/>
        <w:rPr>
          <w:rFonts w:eastAsia="Malgun Gothic" w:cstheme="minorHAnsi"/>
          <w:b/>
          <w:lang w:val="en-NZ" w:eastAsia="en-NZ"/>
        </w:rPr>
      </w:pPr>
    </w:p>
    <w:p w14:paraId="5A25575F" w14:textId="77777777" w:rsidR="00140D64" w:rsidRPr="00DA0EE6" w:rsidRDefault="00140D64" w:rsidP="00167819">
      <w:pPr>
        <w:adjustRightInd w:val="0"/>
        <w:snapToGrid w:val="0"/>
        <w:spacing w:after="0" w:line="240" w:lineRule="auto"/>
        <w:ind w:left="567"/>
        <w:jc w:val="center"/>
        <w:rPr>
          <w:rFonts w:eastAsia="Malgun Gothic" w:cstheme="minorHAnsi"/>
          <w:b/>
          <w:lang w:val="en-NZ" w:eastAsia="en-NZ"/>
        </w:rPr>
      </w:pPr>
      <w:r w:rsidRPr="00DA0EE6">
        <w:rPr>
          <w:rFonts w:eastAsia="Malgun Gothic" w:cstheme="minorHAnsi"/>
          <w:b/>
          <w:noProof/>
          <w:lang w:eastAsia="ko-KR"/>
        </w:rPr>
        <w:lastRenderedPageBreak/>
        <w:drawing>
          <wp:inline distT="0" distB="0" distL="0" distR="0" wp14:anchorId="467DEEE7" wp14:editId="5B55B29C">
            <wp:extent cx="4054017" cy="3080084"/>
            <wp:effectExtent l="0" t="0" r="3810" b="6350"/>
            <wp:docPr id="18" name="Picture 17" descr="YFT-CES-catch-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FT-CES-catch-overal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79774" cy="3099653"/>
                    </a:xfrm>
                    <a:prstGeom prst="rect">
                      <a:avLst/>
                    </a:prstGeom>
                    <a:noFill/>
                    <a:ln>
                      <a:noFill/>
                    </a:ln>
                  </pic:spPr>
                </pic:pic>
              </a:graphicData>
            </a:graphic>
          </wp:inline>
        </w:drawing>
      </w:r>
    </w:p>
    <w:p w14:paraId="6595C0C9" w14:textId="77777777" w:rsidR="00140D64" w:rsidRPr="00DA0EE6" w:rsidRDefault="00140D64" w:rsidP="00167819">
      <w:pPr>
        <w:adjustRightInd w:val="0"/>
        <w:snapToGrid w:val="0"/>
        <w:spacing w:after="0" w:line="240" w:lineRule="auto"/>
        <w:rPr>
          <w:rFonts w:eastAsia="MS Mincho" w:cstheme="minorHAnsi"/>
          <w:lang w:val="en-AU" w:eastAsia="en-AU"/>
        </w:rPr>
      </w:pPr>
      <w:r w:rsidRPr="00DA0EE6">
        <w:rPr>
          <w:rFonts w:eastAsia="MS Mincho" w:cstheme="minorHAnsi"/>
          <w:b/>
          <w:bCs/>
          <w:lang w:val="en-AU" w:eastAsia="en-AU"/>
        </w:rPr>
        <w:t>Figure</w:t>
      </w:r>
      <w:r w:rsidRPr="00DA0EE6">
        <w:rPr>
          <w:rFonts w:eastAsia="MS PMincho" w:cstheme="minorHAnsi"/>
          <w:b/>
          <w:bCs/>
          <w:lang w:val="en-AU" w:eastAsia="en-AU"/>
        </w:rPr>
        <w:t xml:space="preserve">　</w:t>
      </w:r>
      <w:r w:rsidRPr="00DA0EE6">
        <w:rPr>
          <w:rFonts w:eastAsia="MS Mincho" w:cstheme="minorHAnsi"/>
          <w:b/>
          <w:bCs/>
          <w:lang w:val="en-AU" w:eastAsia="en-AU"/>
        </w:rPr>
        <w:t xml:space="preserve">YFT-1. </w:t>
      </w:r>
      <w:r w:rsidRPr="00DA0EE6">
        <w:rPr>
          <w:rFonts w:eastAsia="MS Mincho" w:cstheme="minorHAnsi"/>
          <w:lang w:val="en-AU" w:eastAsia="en-AU"/>
        </w:rPr>
        <w:t>Time series of total annual catch (1000's mt) by fishing gear for the diagnostic case model over the full assessment period.</w:t>
      </w:r>
    </w:p>
    <w:p w14:paraId="3D11C0BA" w14:textId="77777777" w:rsidR="00140D64" w:rsidRPr="00DA0EE6" w:rsidRDefault="00140D64" w:rsidP="00167819">
      <w:pPr>
        <w:adjustRightInd w:val="0"/>
        <w:snapToGrid w:val="0"/>
        <w:spacing w:after="0" w:line="240" w:lineRule="auto"/>
        <w:ind w:left="578"/>
        <w:rPr>
          <w:rFonts w:eastAsia="MS Mincho" w:cstheme="minorHAnsi"/>
          <w:lang w:val="en-AU" w:eastAsia="zh-TW"/>
        </w:rPr>
      </w:pPr>
    </w:p>
    <w:p w14:paraId="6D1B7403" w14:textId="77777777" w:rsidR="00140D64" w:rsidRPr="00DA0EE6" w:rsidRDefault="00140D64" w:rsidP="00167819">
      <w:pPr>
        <w:adjustRightInd w:val="0"/>
        <w:snapToGrid w:val="0"/>
        <w:spacing w:after="0" w:line="240" w:lineRule="auto"/>
        <w:jc w:val="center"/>
        <w:rPr>
          <w:rFonts w:eastAsia="Malgun Gothic" w:cstheme="minorHAnsi"/>
          <w:b/>
          <w:lang w:val="en-NZ" w:eastAsia="en-NZ"/>
        </w:rPr>
      </w:pPr>
      <w:r w:rsidRPr="00DA0EE6">
        <w:rPr>
          <w:rFonts w:eastAsia="Malgun Gothic" w:cstheme="minorHAnsi"/>
          <w:noProof/>
          <w:lang w:eastAsia="ko-KR"/>
        </w:rPr>
        <w:drawing>
          <wp:inline distT="0" distB="0" distL="0" distR="0" wp14:anchorId="68F8D08C" wp14:editId="12270991">
            <wp:extent cx="5484268" cy="3052293"/>
            <wp:effectExtent l="0" t="0" r="2540" b="0"/>
            <wp:docPr id="19" name="Picture 18" descr="plot_biomass_stacked_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ot_biomass_stacked_Recruitmen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05856" cy="3064308"/>
                    </a:xfrm>
                    <a:prstGeom prst="rect">
                      <a:avLst/>
                    </a:prstGeom>
                    <a:noFill/>
                    <a:ln>
                      <a:noFill/>
                    </a:ln>
                  </pic:spPr>
                </pic:pic>
              </a:graphicData>
            </a:graphic>
          </wp:inline>
        </w:drawing>
      </w:r>
    </w:p>
    <w:p w14:paraId="513E8C21" w14:textId="77777777" w:rsidR="00140D64" w:rsidRPr="00DA0EE6" w:rsidRDefault="00140D64" w:rsidP="00167819">
      <w:pPr>
        <w:adjustRightInd w:val="0"/>
        <w:snapToGrid w:val="0"/>
        <w:spacing w:after="0" w:line="240" w:lineRule="auto"/>
        <w:rPr>
          <w:rFonts w:eastAsia="MS Mincho" w:cstheme="minorHAnsi"/>
          <w:lang w:val="en-AU" w:eastAsia="en-AU"/>
        </w:rPr>
      </w:pPr>
      <w:r w:rsidRPr="00DA0EE6">
        <w:rPr>
          <w:rFonts w:eastAsia="MS Mincho" w:cstheme="minorHAnsi"/>
          <w:b/>
          <w:bCs/>
          <w:lang w:val="en-AU" w:eastAsia="en-AU"/>
        </w:rPr>
        <w:t>Figure</w:t>
      </w:r>
      <w:r w:rsidRPr="00DA0EE6">
        <w:rPr>
          <w:rFonts w:eastAsia="MS PMincho" w:cstheme="minorHAnsi"/>
          <w:b/>
          <w:bCs/>
          <w:lang w:val="en-AU" w:eastAsia="en-AU"/>
        </w:rPr>
        <w:t xml:space="preserve">　</w:t>
      </w:r>
      <w:r w:rsidRPr="00DA0EE6">
        <w:rPr>
          <w:rFonts w:eastAsia="MS Mincho" w:cstheme="minorHAnsi"/>
          <w:b/>
          <w:bCs/>
          <w:lang w:val="en-AU" w:eastAsia="en-AU"/>
        </w:rPr>
        <w:t xml:space="preserve">YFT-2. </w:t>
      </w:r>
      <w:r w:rsidRPr="00DA0EE6">
        <w:rPr>
          <w:rFonts w:eastAsia="MS Mincho" w:cstheme="minorHAnsi"/>
          <w:lang w:val="en-AU" w:eastAsia="en-AU"/>
        </w:rPr>
        <w:t>Estimated annual average recruitment by model region for the diagnostic case model, showing the relative sizes among regions.</w:t>
      </w:r>
    </w:p>
    <w:p w14:paraId="67929D56" w14:textId="77777777" w:rsidR="00140D64" w:rsidRPr="00DA0EE6" w:rsidRDefault="00140D64" w:rsidP="00167819">
      <w:pPr>
        <w:adjustRightInd w:val="0"/>
        <w:snapToGrid w:val="0"/>
        <w:spacing w:after="0" w:line="240" w:lineRule="auto"/>
        <w:ind w:left="578"/>
        <w:rPr>
          <w:rFonts w:eastAsia="MS Mincho" w:cstheme="minorHAnsi"/>
          <w:lang w:val="en-AU" w:eastAsia="en-AU"/>
        </w:rPr>
      </w:pPr>
    </w:p>
    <w:p w14:paraId="7EAAD3CA" w14:textId="77777777" w:rsidR="00140D64" w:rsidRPr="00DA0EE6" w:rsidRDefault="00140D64" w:rsidP="00167819">
      <w:pPr>
        <w:adjustRightInd w:val="0"/>
        <w:snapToGrid w:val="0"/>
        <w:spacing w:after="0" w:line="240" w:lineRule="auto"/>
        <w:ind w:left="578"/>
        <w:jc w:val="center"/>
        <w:rPr>
          <w:rFonts w:eastAsia="MS Mincho" w:cstheme="minorHAnsi"/>
          <w:b/>
          <w:bCs/>
          <w:lang w:val="en-AU" w:eastAsia="en-AU"/>
        </w:rPr>
      </w:pPr>
    </w:p>
    <w:p w14:paraId="7A8BEDA2" w14:textId="77777777" w:rsidR="00140D64" w:rsidRPr="00DA0EE6" w:rsidRDefault="00140D64" w:rsidP="00167819">
      <w:pPr>
        <w:adjustRightInd w:val="0"/>
        <w:snapToGrid w:val="0"/>
        <w:spacing w:after="0" w:line="240" w:lineRule="auto"/>
        <w:jc w:val="both"/>
        <w:rPr>
          <w:rFonts w:eastAsia="Malgun Gothic" w:cstheme="minorHAnsi"/>
          <w:b/>
          <w:lang w:val="en-NZ" w:eastAsia="en-NZ"/>
        </w:rPr>
      </w:pPr>
      <w:r w:rsidRPr="00DA0EE6">
        <w:rPr>
          <w:rFonts w:eastAsia="Malgun Gothic" w:cstheme="minorHAnsi"/>
          <w:noProof/>
          <w:lang w:eastAsia="ko-KR"/>
        </w:rPr>
        <w:lastRenderedPageBreak/>
        <w:drawing>
          <wp:inline distT="0" distB="0" distL="0" distR="0" wp14:anchorId="496A71F9" wp14:editId="13A346BC">
            <wp:extent cx="5720715" cy="3183890"/>
            <wp:effectExtent l="0" t="0" r="0" b="0"/>
            <wp:docPr id="20" name="Picture 1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ot_biomass_stacked_SSB"/>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0715" cy="3183890"/>
                    </a:xfrm>
                    <a:prstGeom prst="rect">
                      <a:avLst/>
                    </a:prstGeom>
                    <a:noFill/>
                    <a:ln>
                      <a:noFill/>
                    </a:ln>
                  </pic:spPr>
                </pic:pic>
              </a:graphicData>
            </a:graphic>
          </wp:inline>
        </w:drawing>
      </w:r>
    </w:p>
    <w:p w14:paraId="6528466D" w14:textId="77777777" w:rsidR="00140D64" w:rsidRPr="00DA0EE6" w:rsidRDefault="00140D64" w:rsidP="00167819">
      <w:pPr>
        <w:adjustRightInd w:val="0"/>
        <w:snapToGrid w:val="0"/>
        <w:spacing w:after="0" w:line="240" w:lineRule="auto"/>
        <w:rPr>
          <w:rFonts w:eastAsia="MS Mincho" w:cstheme="minorHAnsi"/>
          <w:lang w:val="en-AU" w:eastAsia="en-AU"/>
        </w:rPr>
      </w:pPr>
      <w:r w:rsidRPr="00DA0EE6">
        <w:rPr>
          <w:rFonts w:eastAsia="MS Mincho" w:cstheme="minorHAnsi"/>
          <w:b/>
          <w:bCs/>
          <w:lang w:val="en-AU" w:eastAsia="en-AU"/>
        </w:rPr>
        <w:t>Figure</w:t>
      </w:r>
      <w:r w:rsidRPr="00DA0EE6">
        <w:rPr>
          <w:rFonts w:eastAsia="MS PMincho" w:cstheme="minorHAnsi"/>
          <w:b/>
          <w:bCs/>
          <w:lang w:val="en-AU" w:eastAsia="en-AU"/>
        </w:rPr>
        <w:t xml:space="preserve">　</w:t>
      </w:r>
      <w:r w:rsidRPr="00DA0EE6">
        <w:rPr>
          <w:rFonts w:eastAsia="MS Mincho" w:cstheme="minorHAnsi"/>
          <w:b/>
          <w:bCs/>
          <w:lang w:val="en-AU" w:eastAsia="en-AU"/>
        </w:rPr>
        <w:t>YFT-3</w:t>
      </w:r>
      <w:r w:rsidRPr="00DA0EE6">
        <w:rPr>
          <w:rFonts w:eastAsia="MS PMincho" w:cstheme="minorHAnsi"/>
          <w:b/>
          <w:lang w:val="en-AU" w:eastAsia="en-AU"/>
        </w:rPr>
        <w:t xml:space="preserve">. </w:t>
      </w:r>
      <w:r w:rsidRPr="00DA0EE6">
        <w:rPr>
          <w:rFonts w:eastAsia="MS Mincho" w:cstheme="minorHAnsi"/>
          <w:lang w:val="en-AU" w:eastAsia="en-AU"/>
        </w:rPr>
        <w:t>Estimated annual average spawning potential by model region for the diagnostic case model, showing the relative sizes among regions.</w:t>
      </w:r>
    </w:p>
    <w:p w14:paraId="5522B710" w14:textId="77777777" w:rsidR="00140D64" w:rsidRPr="00DA0EE6" w:rsidRDefault="00140D64" w:rsidP="00167819">
      <w:pPr>
        <w:adjustRightInd w:val="0"/>
        <w:snapToGrid w:val="0"/>
        <w:spacing w:after="0" w:line="240" w:lineRule="auto"/>
        <w:ind w:left="578"/>
        <w:jc w:val="center"/>
        <w:rPr>
          <w:rFonts w:eastAsia="Malgun Gothic" w:cstheme="minorHAnsi"/>
          <w:b/>
          <w:lang w:val="en-NZ" w:eastAsia="en-NZ"/>
        </w:rPr>
      </w:pPr>
      <w:r w:rsidRPr="00DA0EE6">
        <w:rPr>
          <w:rFonts w:eastAsia="Malgun Gothic" w:cstheme="minorHAnsi"/>
          <w:b/>
          <w:noProof/>
          <w:lang w:eastAsia="ko-KR"/>
        </w:rPr>
        <w:drawing>
          <wp:inline distT="0" distB="0" distL="0" distR="0" wp14:anchorId="79DD55A3" wp14:editId="2296E6F5">
            <wp:extent cx="4829578" cy="3362817"/>
            <wp:effectExtent l="0" t="0" r="0" b="9525"/>
            <wp:docPr id="21" name="Picture 20"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ot_temporal_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6395" cy="3381490"/>
                    </a:xfrm>
                    <a:prstGeom prst="rect">
                      <a:avLst/>
                    </a:prstGeom>
                    <a:noFill/>
                    <a:ln>
                      <a:noFill/>
                    </a:ln>
                  </pic:spPr>
                </pic:pic>
              </a:graphicData>
            </a:graphic>
          </wp:inline>
        </w:drawing>
      </w:r>
    </w:p>
    <w:p w14:paraId="2FD5B722" w14:textId="77777777" w:rsidR="00140D64" w:rsidRPr="00DA0EE6" w:rsidRDefault="00140D64" w:rsidP="00167819">
      <w:pPr>
        <w:adjustRightInd w:val="0"/>
        <w:snapToGrid w:val="0"/>
        <w:spacing w:after="0" w:line="240" w:lineRule="auto"/>
        <w:rPr>
          <w:rFonts w:eastAsia="MS Mincho" w:cstheme="minorHAnsi"/>
          <w:lang w:val="en-AU"/>
        </w:rPr>
      </w:pPr>
      <w:r w:rsidRPr="00DA0EE6">
        <w:rPr>
          <w:rFonts w:eastAsia="MS Mincho" w:cstheme="minorHAnsi"/>
          <w:b/>
          <w:bCs/>
          <w:lang w:val="en-AU"/>
        </w:rPr>
        <w:t>Figure YFT-4</w:t>
      </w:r>
      <w:r w:rsidRPr="00DA0EE6">
        <w:rPr>
          <w:rFonts w:eastAsia="MS PMincho" w:cstheme="minorHAnsi"/>
          <w:b/>
        </w:rPr>
        <w:t xml:space="preserve">. </w:t>
      </w:r>
      <w:r w:rsidRPr="00DA0EE6">
        <w:rPr>
          <w:rFonts w:eastAsia="MS Mincho" w:cstheme="minorHAnsi"/>
          <w:lang w:val="en-AU"/>
        </w:rPr>
        <w:t>Estimated annual average juvenile and adult fishing mortality for the diagnostic case model.</w:t>
      </w:r>
    </w:p>
    <w:p w14:paraId="34DF506B" w14:textId="77777777" w:rsidR="00140D64" w:rsidRPr="00DA0EE6" w:rsidRDefault="00140D64" w:rsidP="00167819">
      <w:pPr>
        <w:adjustRightInd w:val="0"/>
        <w:snapToGrid w:val="0"/>
        <w:spacing w:after="0" w:line="240" w:lineRule="auto"/>
        <w:ind w:left="567"/>
        <w:jc w:val="both"/>
        <w:rPr>
          <w:rFonts w:eastAsia="Malgun Gothic" w:cstheme="minorHAnsi"/>
          <w:b/>
          <w:lang w:val="en-NZ" w:eastAsia="en-NZ"/>
        </w:rPr>
      </w:pPr>
    </w:p>
    <w:p w14:paraId="761CF421" w14:textId="77777777" w:rsidR="00140D64" w:rsidRPr="00DA0EE6" w:rsidRDefault="00140D64" w:rsidP="00167819">
      <w:pPr>
        <w:adjustRightInd w:val="0"/>
        <w:snapToGrid w:val="0"/>
        <w:spacing w:after="0" w:line="240" w:lineRule="auto"/>
        <w:jc w:val="center"/>
        <w:rPr>
          <w:rFonts w:eastAsia="Malgun Gothic" w:cstheme="minorHAnsi"/>
          <w:b/>
          <w:lang w:val="en-NZ" w:eastAsia="en-NZ"/>
        </w:rPr>
      </w:pPr>
      <w:r w:rsidRPr="00DA0EE6">
        <w:rPr>
          <w:rFonts w:eastAsia="Malgun Gothic" w:cstheme="minorHAnsi"/>
          <w:noProof/>
          <w:lang w:eastAsia="ko-KR"/>
        </w:rPr>
        <w:lastRenderedPageBreak/>
        <w:drawing>
          <wp:inline distT="0" distB="0" distL="0" distR="0" wp14:anchorId="069D39EF" wp14:editId="695AFD0A">
            <wp:extent cx="4711619" cy="3477296"/>
            <wp:effectExtent l="0" t="0" r="0" b="8890"/>
            <wp:docPr id="22" name="Picture 21" descr="grid-depletion-size-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id-depletion-size-20-5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39576" cy="3497929"/>
                    </a:xfrm>
                    <a:prstGeom prst="rect">
                      <a:avLst/>
                    </a:prstGeom>
                    <a:noFill/>
                    <a:ln>
                      <a:noFill/>
                    </a:ln>
                  </pic:spPr>
                </pic:pic>
              </a:graphicData>
            </a:graphic>
          </wp:inline>
        </w:drawing>
      </w:r>
    </w:p>
    <w:p w14:paraId="4FCE9F55" w14:textId="77777777" w:rsidR="00140D64" w:rsidRPr="00DA0EE6" w:rsidRDefault="00140D64" w:rsidP="00167819">
      <w:pPr>
        <w:adjustRightInd w:val="0"/>
        <w:snapToGrid w:val="0"/>
        <w:spacing w:after="0" w:line="240" w:lineRule="auto"/>
        <w:jc w:val="both"/>
        <w:rPr>
          <w:rFonts w:eastAsia="MS PMincho" w:cstheme="minorHAnsi"/>
          <w:lang w:val="en-NZ" w:eastAsia="en-NZ"/>
        </w:rPr>
      </w:pPr>
      <w:r w:rsidRPr="00DA0EE6">
        <w:rPr>
          <w:rFonts w:eastAsia="Malgun Gothic" w:cstheme="minorHAnsi"/>
          <w:b/>
          <w:bCs/>
          <w:lang w:val="en-NZ" w:eastAsia="en-NZ"/>
        </w:rPr>
        <w:t>Figure YFT-5</w:t>
      </w:r>
      <w:r w:rsidRPr="00DA0EE6">
        <w:rPr>
          <w:rFonts w:eastAsia="MS PMincho" w:cstheme="minorHAnsi"/>
          <w:lang w:eastAsia="en-NZ"/>
        </w:rPr>
        <w:t>：</w:t>
      </w:r>
      <w:r w:rsidRPr="00DA0EE6">
        <w:rPr>
          <w:rFonts w:eastAsia="MS PMincho" w:cstheme="minorHAnsi"/>
          <w:lang w:val="en-NZ" w:eastAsia="en-NZ"/>
        </w:rPr>
        <w:t>Plot showing the trajectories of fishing depletion (of spawning potential) for the 48 model runs retained for the structural uncertainty grid used for management advice. The colours depict the models in the grid with the size composition weighting using divisors of 20 and 50.</w:t>
      </w:r>
    </w:p>
    <w:p w14:paraId="44C357C5" w14:textId="77777777" w:rsidR="00140D64" w:rsidRPr="00DA0EE6" w:rsidRDefault="00140D64" w:rsidP="00167819">
      <w:pPr>
        <w:adjustRightInd w:val="0"/>
        <w:snapToGrid w:val="0"/>
        <w:spacing w:after="0" w:line="240" w:lineRule="auto"/>
        <w:jc w:val="center"/>
        <w:rPr>
          <w:rFonts w:eastAsia="MS PMincho" w:cstheme="minorHAnsi"/>
          <w:lang w:val="en-NZ" w:eastAsia="en-NZ"/>
        </w:rPr>
      </w:pPr>
      <w:r w:rsidRPr="00DA0EE6">
        <w:rPr>
          <w:rFonts w:eastAsia="Malgun Gothic" w:cstheme="minorHAnsi"/>
          <w:noProof/>
          <w:lang w:eastAsia="ko-KR"/>
        </w:rPr>
        <w:drawing>
          <wp:inline distT="0" distB="0" distL="0" distR="0" wp14:anchorId="7A4A36FA" wp14:editId="24451C36">
            <wp:extent cx="3737762" cy="2859110"/>
            <wp:effectExtent l="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82257" cy="2893145"/>
                    </a:xfrm>
                    <a:prstGeom prst="rect">
                      <a:avLst/>
                    </a:prstGeom>
                    <a:noFill/>
                    <a:ln>
                      <a:noFill/>
                    </a:ln>
                  </pic:spPr>
                </pic:pic>
              </a:graphicData>
            </a:graphic>
          </wp:inline>
        </w:drawing>
      </w:r>
    </w:p>
    <w:p w14:paraId="150AFCE2" w14:textId="666B29B2" w:rsidR="00140D64" w:rsidRPr="00DA0EE6" w:rsidRDefault="00140D64" w:rsidP="00167819">
      <w:pPr>
        <w:adjustRightInd w:val="0"/>
        <w:snapToGrid w:val="0"/>
        <w:spacing w:after="0" w:line="240" w:lineRule="auto"/>
        <w:jc w:val="both"/>
        <w:rPr>
          <w:rFonts w:eastAsia="MS PMincho" w:cstheme="minorHAnsi"/>
          <w:lang w:val="en-AU" w:eastAsia="en-AU"/>
        </w:rPr>
      </w:pPr>
      <w:r w:rsidRPr="00DA0EE6">
        <w:rPr>
          <w:rFonts w:eastAsia="MS Mincho" w:cstheme="minorHAnsi"/>
          <w:b/>
          <w:bCs/>
          <w:lang w:val="en-AU" w:eastAsia="en-AU"/>
        </w:rPr>
        <w:t xml:space="preserve">Figure YFT-6. </w:t>
      </w:r>
      <w:r w:rsidRPr="00DA0EE6">
        <w:rPr>
          <w:rFonts w:eastAsia="MS Mincho" w:cstheme="minorHAnsi"/>
          <w:lang w:val="en-AU" w:eastAsia="en-AU"/>
        </w:rPr>
        <w:t xml:space="preserve">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DA0EE6">
        <w:rPr>
          <w:rFonts w:eastAsia="MS Mincho" w:cstheme="minorHAnsi"/>
          <w:vertAlign w:val="subscript"/>
          <w:lang w:val="en-AU" w:eastAsia="en-AU"/>
        </w:rPr>
        <w:t>MSY</w:t>
      </w:r>
      <w:r w:rsidRPr="00DA0EE6">
        <w:rPr>
          <w:rFonts w:eastAsia="MS Mincho" w:cstheme="minorHAnsi"/>
          <w:lang w:val="en-AU" w:eastAsia="en-AU"/>
        </w:rPr>
        <w:t xml:space="preserve"> (F</w:t>
      </w:r>
      <w:r w:rsidRPr="00DA0EE6">
        <w:rPr>
          <w:rFonts w:eastAsia="MS Mincho" w:cstheme="minorHAnsi"/>
          <w:vertAlign w:val="subscript"/>
          <w:lang w:val="en-AU" w:eastAsia="en-AU"/>
        </w:rPr>
        <w:t>MSY</w:t>
      </w:r>
      <w:r w:rsidRPr="00DA0EE6">
        <w:rPr>
          <w:rFonts w:eastAsia="MS Mincho" w:cstheme="minorHAnsi"/>
          <w:lang w:val="en-AU" w:eastAsia="en-AU"/>
        </w:rPr>
        <w:t xml:space="preserve"> is marked with the black </w:t>
      </w:r>
      <w:r w:rsidRPr="00DA0EE6">
        <w:rPr>
          <w:rFonts w:eastAsia="Malgun Gothic" w:cstheme="minorHAnsi"/>
          <w:lang w:val="en-AU" w:eastAsia="ko-KR"/>
        </w:rPr>
        <w:t>horizontal</w:t>
      </w:r>
      <w:r w:rsidRPr="00DA0EE6">
        <w:rPr>
          <w:rFonts w:eastAsia="MS Mincho" w:cstheme="minorHAnsi"/>
          <w:lang w:val="en-AU" w:eastAsia="en-AU"/>
        </w:rPr>
        <w:t xml:space="preserve"> line). The points represent </w:t>
      </w:r>
      <w:r w:rsidRPr="00DA0EE6">
        <w:rPr>
          <w:rFonts w:eastAsia="MS Mincho" w:cstheme="minorHAnsi"/>
          <w:u w:val="single"/>
          <w:lang w:val="en-AU" w:eastAsia="en-AU"/>
        </w:rPr>
        <w:t>SB</w:t>
      </w:r>
      <w:r w:rsidRPr="00DA0EE6">
        <w:rPr>
          <w:rFonts w:eastAsia="MS Mincho" w:cstheme="minorHAnsi"/>
          <w:u w:val="single"/>
          <w:vertAlign w:val="subscript"/>
          <w:lang w:val="en-AU" w:eastAsia="en-AU"/>
        </w:rPr>
        <w:t>latest</w:t>
      </w:r>
      <w:r w:rsidRPr="00DA0EE6">
        <w:rPr>
          <w:rFonts w:eastAsia="MS Mincho" w:cstheme="minorHAnsi"/>
          <w:u w:val="single"/>
          <w:lang w:val="en-AU" w:eastAsia="en-AU"/>
        </w:rPr>
        <w:t>/SB</w:t>
      </w:r>
      <w:r w:rsidRPr="00DA0EE6">
        <w:rPr>
          <w:rFonts w:eastAsia="MS Mincho" w:cstheme="minorHAnsi"/>
          <w:u w:val="single"/>
          <w:vertAlign w:val="subscript"/>
          <w:lang w:val="en-AU" w:eastAsia="en-AU"/>
        </w:rPr>
        <w:t>F=0</w:t>
      </w:r>
      <w:r w:rsidRPr="00DA0EE6">
        <w:rPr>
          <w:rFonts w:eastAsia="MS Mincho" w:cstheme="minorHAnsi"/>
          <w:lang w:val="en-AU" w:eastAsia="en-AU"/>
        </w:rPr>
        <w:t xml:space="preserve">, and the colours depict the models in the grid </w:t>
      </w:r>
      <w:r w:rsidRPr="00DA0EE6">
        <w:rPr>
          <w:rFonts w:eastAsia="MS PMincho" w:cstheme="minorHAnsi"/>
          <w:lang w:val="en-AU" w:eastAsia="en-AU"/>
        </w:rPr>
        <w:t>with the size composition weighting using divisors of 20 and 50.</w:t>
      </w:r>
    </w:p>
    <w:p w14:paraId="382B6ECD" w14:textId="77777777" w:rsidR="00F56124" w:rsidRPr="00DA0EE6" w:rsidRDefault="00F56124" w:rsidP="00167819">
      <w:pPr>
        <w:adjustRightInd w:val="0"/>
        <w:snapToGrid w:val="0"/>
        <w:spacing w:after="0" w:line="240" w:lineRule="auto"/>
        <w:jc w:val="both"/>
        <w:rPr>
          <w:rFonts w:eastAsia="MS PMincho" w:cstheme="minorHAnsi"/>
          <w:lang w:val="en-AU" w:eastAsia="en-AU"/>
        </w:rPr>
      </w:pPr>
    </w:p>
    <w:p w14:paraId="6194152F" w14:textId="77777777" w:rsidR="00140D64" w:rsidRPr="00DA0EE6" w:rsidRDefault="00140D64" w:rsidP="00167819">
      <w:pPr>
        <w:adjustRightInd w:val="0"/>
        <w:snapToGrid w:val="0"/>
        <w:spacing w:after="0" w:line="240" w:lineRule="auto"/>
        <w:jc w:val="center"/>
        <w:rPr>
          <w:rFonts w:eastAsia="MS PMincho" w:cstheme="minorHAnsi"/>
          <w:lang w:val="en-NZ" w:eastAsia="en-NZ"/>
        </w:rPr>
      </w:pPr>
      <w:r w:rsidRPr="00DA0EE6">
        <w:rPr>
          <w:rFonts w:eastAsia="Malgun Gothic" w:cstheme="minorHAnsi"/>
          <w:b/>
          <w:noProof/>
          <w:lang w:eastAsia="ko-KR"/>
        </w:rPr>
        <w:drawing>
          <wp:inline distT="0" distB="0" distL="0" distR="0" wp14:anchorId="13A2282C" wp14:editId="40BE7A6B">
            <wp:extent cx="3721995" cy="2848149"/>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38961" cy="2861132"/>
                    </a:xfrm>
                    <a:prstGeom prst="rect">
                      <a:avLst/>
                    </a:prstGeom>
                    <a:noFill/>
                    <a:ln>
                      <a:noFill/>
                    </a:ln>
                  </pic:spPr>
                </pic:pic>
              </a:graphicData>
            </a:graphic>
          </wp:inline>
        </w:drawing>
      </w:r>
    </w:p>
    <w:p w14:paraId="08FD96ED" w14:textId="77777777" w:rsidR="00140D64" w:rsidRPr="00DA0EE6" w:rsidRDefault="00140D64" w:rsidP="00167819">
      <w:pPr>
        <w:adjustRightInd w:val="0"/>
        <w:snapToGrid w:val="0"/>
        <w:spacing w:after="0" w:line="240" w:lineRule="auto"/>
        <w:jc w:val="both"/>
        <w:rPr>
          <w:rFonts w:eastAsia="MS Mincho" w:cstheme="minorHAnsi"/>
          <w:b/>
          <w:bCs/>
          <w:lang w:val="en-AU" w:eastAsia="en-AU"/>
        </w:rPr>
      </w:pPr>
      <w:r w:rsidRPr="00DA0EE6">
        <w:rPr>
          <w:rFonts w:eastAsia="MS Mincho" w:cstheme="minorHAnsi"/>
          <w:b/>
          <w:bCs/>
          <w:lang w:val="en-AU" w:eastAsia="en-AU"/>
        </w:rPr>
        <w:t>Figure YFT-7</w:t>
      </w:r>
      <w:r w:rsidRPr="00DA0EE6">
        <w:rPr>
          <w:rFonts w:eastAsia="MS Mincho" w:cstheme="minorHAnsi"/>
          <w:b/>
          <w:lang w:val="en-AU" w:eastAsia="en-AU"/>
        </w:rPr>
        <w:t xml:space="preserve">: </w:t>
      </w:r>
      <w:r w:rsidRPr="00DA0EE6">
        <w:rPr>
          <w:rFonts w:eastAsia="MS Mincho" w:cstheme="minorHAnsi"/>
          <w:lang w:val="en-AU" w:eastAsia="en-AU"/>
        </w:rPr>
        <w:t>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DA0EE6">
        <w:rPr>
          <w:rFonts w:eastAsia="MS Mincho" w:cstheme="minorHAnsi"/>
          <w:vertAlign w:val="subscript"/>
          <w:lang w:val="en-AU" w:eastAsia="en-AU"/>
        </w:rPr>
        <w:t>MSY</w:t>
      </w:r>
      <w:r w:rsidRPr="00DA0EE6">
        <w:rPr>
          <w:rFonts w:eastAsia="MS Mincho" w:cstheme="minorHAnsi"/>
          <w:lang w:val="en-AU" w:eastAsia="en-AU"/>
        </w:rPr>
        <w:t xml:space="preserve"> (F</w:t>
      </w:r>
      <w:r w:rsidRPr="00DA0EE6">
        <w:rPr>
          <w:rFonts w:eastAsia="MS Mincho" w:cstheme="minorHAnsi"/>
          <w:u w:val="single"/>
          <w:vertAlign w:val="subscript"/>
          <w:lang w:val="en-AU" w:eastAsia="en-AU"/>
        </w:rPr>
        <w:t>MSY</w:t>
      </w:r>
      <w:r w:rsidRPr="00DA0EE6">
        <w:rPr>
          <w:rFonts w:eastAsia="MS Mincho" w:cstheme="minorHAnsi"/>
          <w:lang w:val="en-AU" w:eastAsia="en-AU"/>
        </w:rPr>
        <w:t xml:space="preserve"> is marked with the black </w:t>
      </w:r>
      <w:r w:rsidRPr="00DA0EE6">
        <w:rPr>
          <w:rFonts w:eastAsia="Malgun Gothic" w:cstheme="minorHAnsi"/>
          <w:lang w:val="en-AU" w:eastAsia="ko-KR"/>
        </w:rPr>
        <w:t>horizontal</w:t>
      </w:r>
      <w:r w:rsidRPr="00DA0EE6">
        <w:rPr>
          <w:rFonts w:eastAsia="MS Mincho" w:cstheme="minorHAnsi"/>
          <w:lang w:val="en-AU" w:eastAsia="en-AU"/>
        </w:rPr>
        <w:t xml:space="preserve"> line). The points represent SB</w:t>
      </w:r>
      <w:r w:rsidRPr="00DA0EE6">
        <w:rPr>
          <w:rFonts w:eastAsia="MS Mincho" w:cstheme="minorHAnsi"/>
          <w:i/>
          <w:vertAlign w:val="subscript"/>
          <w:lang w:val="en-AU" w:eastAsia="en-AU"/>
        </w:rPr>
        <w:t>recent</w:t>
      </w:r>
      <w:r w:rsidRPr="00DA0EE6">
        <w:rPr>
          <w:rFonts w:eastAsia="MS Mincho" w:cstheme="minorHAnsi"/>
          <w:lang w:val="en-AU" w:eastAsia="en-AU"/>
        </w:rPr>
        <w:t>/SB</w:t>
      </w:r>
      <w:r w:rsidRPr="00DA0EE6">
        <w:rPr>
          <w:rFonts w:eastAsia="MS Mincho" w:cstheme="minorHAnsi"/>
          <w:i/>
          <w:vertAlign w:val="subscript"/>
          <w:lang w:val="en-AU" w:eastAsia="en-AU"/>
        </w:rPr>
        <w:t>F=0</w:t>
      </w:r>
      <w:r w:rsidRPr="00DA0EE6">
        <w:rPr>
          <w:rFonts w:eastAsia="MS Mincho" w:cstheme="minorHAnsi"/>
          <w:lang w:val="en-AU" w:eastAsia="en-AU"/>
        </w:rPr>
        <w:t xml:space="preserve">, and the colours depict the models in the grid </w:t>
      </w:r>
      <w:r w:rsidRPr="00DA0EE6">
        <w:rPr>
          <w:rFonts w:eastAsia="MS PMincho" w:cstheme="minorHAnsi"/>
          <w:lang w:val="en-AU" w:eastAsia="en-AU"/>
        </w:rPr>
        <w:t>with the size composition weighting using divisors of 20 and 50.</w:t>
      </w:r>
    </w:p>
    <w:p w14:paraId="0393B654" w14:textId="77777777" w:rsidR="00140D64" w:rsidRPr="00DA0EE6" w:rsidRDefault="00140D64" w:rsidP="00167819">
      <w:pPr>
        <w:adjustRightInd w:val="0"/>
        <w:snapToGrid w:val="0"/>
        <w:spacing w:after="0" w:line="240" w:lineRule="auto"/>
        <w:ind w:left="567"/>
        <w:jc w:val="center"/>
        <w:rPr>
          <w:rFonts w:eastAsia="MS PMincho" w:cstheme="minorHAnsi"/>
          <w:lang w:val="en-NZ" w:eastAsia="en-NZ"/>
        </w:rPr>
      </w:pPr>
    </w:p>
    <w:p w14:paraId="54C658C8" w14:textId="77777777" w:rsidR="00140D64" w:rsidRPr="00DA0EE6" w:rsidRDefault="00140D64" w:rsidP="00F56124">
      <w:pPr>
        <w:adjustRightInd w:val="0"/>
        <w:snapToGrid w:val="0"/>
        <w:spacing w:after="0" w:line="240" w:lineRule="auto"/>
        <w:jc w:val="center"/>
        <w:rPr>
          <w:rFonts w:eastAsia="Malgun Gothic" w:cstheme="minorHAnsi"/>
          <w:b/>
          <w:lang w:val="en-NZ" w:eastAsia="en-NZ"/>
        </w:rPr>
      </w:pPr>
      <w:r w:rsidRPr="00DA0EE6">
        <w:rPr>
          <w:rFonts w:eastAsia="Malgun Gothic" w:cstheme="minorHAnsi"/>
          <w:noProof/>
          <w:lang w:eastAsia="ko-KR"/>
        </w:rPr>
        <w:drawing>
          <wp:inline distT="0" distB="0" distL="0" distR="0" wp14:anchorId="48DCBEE0" wp14:editId="1C23C059">
            <wp:extent cx="4407361" cy="3374265"/>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59268" cy="3414005"/>
                    </a:xfrm>
                    <a:prstGeom prst="rect">
                      <a:avLst/>
                    </a:prstGeom>
                    <a:noFill/>
                    <a:ln>
                      <a:noFill/>
                    </a:ln>
                  </pic:spPr>
                </pic:pic>
              </a:graphicData>
            </a:graphic>
          </wp:inline>
        </w:drawing>
      </w:r>
    </w:p>
    <w:p w14:paraId="5848C733" w14:textId="2C8E3645" w:rsidR="00140D64" w:rsidRPr="00DA0EE6" w:rsidRDefault="00140D64" w:rsidP="00167819">
      <w:pPr>
        <w:adjustRightInd w:val="0"/>
        <w:snapToGrid w:val="0"/>
        <w:spacing w:after="0" w:line="240" w:lineRule="auto"/>
        <w:jc w:val="both"/>
        <w:rPr>
          <w:rFonts w:eastAsia="MS PMincho" w:cstheme="minorHAnsi"/>
          <w:lang w:val="en-AU" w:eastAsia="en-AU"/>
        </w:rPr>
      </w:pPr>
      <w:r w:rsidRPr="00DA0EE6">
        <w:rPr>
          <w:rFonts w:eastAsia="MS Mincho" w:cstheme="minorHAnsi"/>
          <w:b/>
          <w:bCs/>
          <w:lang w:val="en-AU" w:eastAsia="en-AU"/>
        </w:rPr>
        <w:lastRenderedPageBreak/>
        <w:t xml:space="preserve">Figure YFT-8. </w:t>
      </w:r>
      <w:r w:rsidRPr="00DA0EE6">
        <w:rPr>
          <w:rFonts w:eastAsia="MS Mincho" w:cstheme="minorHAnsi"/>
          <w:lang w:val="en-AU" w:eastAsia="en-AU"/>
        </w:rPr>
        <w:t xml:space="preserve">Kobe plot summarising the results for each of the models in the structural uncertainty grid. The points represent </w:t>
      </w:r>
      <w:r w:rsidRPr="00DA0EE6">
        <w:rPr>
          <w:rFonts w:eastAsia="MS Mincho" w:cstheme="minorHAnsi"/>
          <w:u w:val="single"/>
          <w:lang w:val="en-AU" w:eastAsia="en-AU"/>
        </w:rPr>
        <w:t>SB</w:t>
      </w:r>
      <w:r w:rsidRPr="00DA0EE6">
        <w:rPr>
          <w:rFonts w:eastAsia="MS Mincho" w:cstheme="minorHAnsi"/>
          <w:u w:val="single"/>
          <w:vertAlign w:val="subscript"/>
          <w:lang w:val="en-AU" w:eastAsia="en-AU"/>
        </w:rPr>
        <w:t>latest</w:t>
      </w:r>
      <w:r w:rsidRPr="00DA0EE6">
        <w:rPr>
          <w:rFonts w:eastAsia="MS Mincho" w:cstheme="minorHAnsi"/>
          <w:u w:val="single"/>
          <w:lang w:val="en-AU" w:eastAsia="en-AU"/>
        </w:rPr>
        <w:t>/SB</w:t>
      </w:r>
      <w:r w:rsidRPr="00DA0EE6">
        <w:rPr>
          <w:rFonts w:eastAsia="MS Mincho" w:cstheme="minorHAnsi"/>
          <w:u w:val="single"/>
          <w:vertAlign w:val="subscript"/>
          <w:lang w:val="en-AU" w:eastAsia="en-AU"/>
        </w:rPr>
        <w:t>MSY</w:t>
      </w:r>
      <w:r w:rsidRPr="00DA0EE6">
        <w:rPr>
          <w:rFonts w:eastAsia="MS Mincho" w:cstheme="minorHAnsi"/>
          <w:lang w:val="en-AU" w:eastAsia="en-AU"/>
        </w:rPr>
        <w:t xml:space="preserve">, the colours depict the models in the grid </w:t>
      </w:r>
      <w:r w:rsidRPr="00DA0EE6">
        <w:rPr>
          <w:rFonts w:eastAsia="MS PMincho" w:cstheme="minorHAnsi"/>
          <w:lang w:val="en-AU" w:eastAsia="en-AU"/>
        </w:rPr>
        <w:t xml:space="preserve">with the size composition weighting using divisors of 20 and 50. </w:t>
      </w:r>
    </w:p>
    <w:p w14:paraId="66C4CCBB" w14:textId="77777777" w:rsidR="00F56124" w:rsidRPr="00DA0EE6" w:rsidRDefault="00F56124" w:rsidP="00167819">
      <w:pPr>
        <w:adjustRightInd w:val="0"/>
        <w:snapToGrid w:val="0"/>
        <w:spacing w:after="0" w:line="240" w:lineRule="auto"/>
        <w:jc w:val="both"/>
        <w:rPr>
          <w:rFonts w:eastAsia="MS PMincho" w:cstheme="minorHAnsi"/>
          <w:lang w:val="en-AU" w:eastAsia="en-AU"/>
        </w:rPr>
      </w:pPr>
    </w:p>
    <w:p w14:paraId="7B0EC17F" w14:textId="77777777" w:rsidR="00140D64" w:rsidRPr="00DA0EE6" w:rsidRDefault="00140D64" w:rsidP="00F56124">
      <w:pPr>
        <w:adjustRightInd w:val="0"/>
        <w:snapToGrid w:val="0"/>
        <w:spacing w:after="0" w:line="240" w:lineRule="auto"/>
        <w:jc w:val="center"/>
        <w:rPr>
          <w:rFonts w:eastAsia="Malgun Gothic" w:cstheme="minorHAnsi"/>
          <w:b/>
          <w:lang w:val="en-NZ" w:eastAsia="en-NZ"/>
        </w:rPr>
      </w:pPr>
      <w:r w:rsidRPr="00DA0EE6">
        <w:rPr>
          <w:rFonts w:eastAsia="Malgun Gothic" w:cstheme="minorHAnsi"/>
          <w:noProof/>
          <w:lang w:eastAsia="ko-KR"/>
        </w:rPr>
        <w:drawing>
          <wp:inline distT="0" distB="0" distL="0" distR="0" wp14:anchorId="4D378A7D" wp14:editId="30594F14">
            <wp:extent cx="4391696" cy="3363258"/>
            <wp:effectExtent l="0" t="0" r="8890" b="889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09392" cy="3376810"/>
                    </a:xfrm>
                    <a:prstGeom prst="rect">
                      <a:avLst/>
                    </a:prstGeom>
                    <a:noFill/>
                    <a:ln>
                      <a:noFill/>
                    </a:ln>
                  </pic:spPr>
                </pic:pic>
              </a:graphicData>
            </a:graphic>
          </wp:inline>
        </w:drawing>
      </w:r>
    </w:p>
    <w:p w14:paraId="00221A67" w14:textId="77777777" w:rsidR="00140D64" w:rsidRPr="00DA0EE6" w:rsidRDefault="00140D64" w:rsidP="00167819">
      <w:pPr>
        <w:adjustRightInd w:val="0"/>
        <w:snapToGrid w:val="0"/>
        <w:spacing w:after="0" w:line="240" w:lineRule="auto"/>
        <w:jc w:val="both"/>
        <w:rPr>
          <w:rFonts w:eastAsia="Malgun Gothic" w:cstheme="minorHAnsi"/>
          <w:lang w:val="en-AU" w:eastAsia="ko-KR"/>
        </w:rPr>
      </w:pPr>
      <w:r w:rsidRPr="00DA0EE6">
        <w:rPr>
          <w:rFonts w:eastAsia="MS Mincho" w:cstheme="minorHAnsi"/>
          <w:b/>
          <w:bCs/>
          <w:lang w:val="en-AU" w:eastAsia="en-AU"/>
        </w:rPr>
        <w:t xml:space="preserve">Figure YFT-9. </w:t>
      </w:r>
      <w:r w:rsidRPr="00DA0EE6">
        <w:rPr>
          <w:rFonts w:eastAsia="MS Mincho" w:cstheme="minorHAnsi"/>
          <w:lang w:val="en-AU" w:eastAsia="en-AU"/>
        </w:rPr>
        <w:t>Kobe plot summarising the results for each of the models in the structural uncertainty grid. The points represent SB</w:t>
      </w:r>
      <w:r w:rsidRPr="00DA0EE6">
        <w:rPr>
          <w:rFonts w:eastAsia="MS Mincho" w:cstheme="minorHAnsi"/>
          <w:i/>
          <w:vertAlign w:val="subscript"/>
          <w:lang w:val="en-AU" w:eastAsia="en-AU"/>
        </w:rPr>
        <w:t>recent</w:t>
      </w:r>
      <w:r w:rsidRPr="00DA0EE6">
        <w:rPr>
          <w:rFonts w:eastAsia="MS Mincho" w:cstheme="minorHAnsi"/>
          <w:lang w:val="en-AU" w:eastAsia="en-AU"/>
        </w:rPr>
        <w:t>/SB</w:t>
      </w:r>
      <w:r w:rsidRPr="00DA0EE6">
        <w:rPr>
          <w:rFonts w:eastAsia="MS Mincho" w:cstheme="minorHAnsi"/>
          <w:vertAlign w:val="subscript"/>
          <w:lang w:val="en-AU" w:eastAsia="en-AU"/>
        </w:rPr>
        <w:t>MSY</w:t>
      </w:r>
      <w:r w:rsidRPr="00DA0EE6">
        <w:rPr>
          <w:rFonts w:eastAsia="MS Mincho" w:cstheme="minorHAnsi"/>
          <w:lang w:val="en-AU" w:eastAsia="en-AU"/>
        </w:rPr>
        <w:t xml:space="preserve">, the colours depict the models in the grid </w:t>
      </w:r>
      <w:r w:rsidRPr="00DA0EE6">
        <w:rPr>
          <w:rFonts w:eastAsia="MS PMincho" w:cstheme="minorHAnsi"/>
          <w:lang w:val="en-AU" w:eastAsia="en-AU"/>
        </w:rPr>
        <w:t>with the size composition weighting using divisors of 20 and 50</w:t>
      </w:r>
      <w:r w:rsidRPr="00DA0EE6">
        <w:rPr>
          <w:rFonts w:eastAsia="MS Mincho" w:cstheme="minorHAnsi"/>
          <w:lang w:val="en-AU" w:eastAsia="en-AU"/>
        </w:rPr>
        <w:t>.</w:t>
      </w:r>
    </w:p>
    <w:p w14:paraId="375B9F3C" w14:textId="77777777" w:rsidR="00140D64" w:rsidRPr="00DA0EE6" w:rsidRDefault="00140D64" w:rsidP="00167819">
      <w:pPr>
        <w:adjustRightInd w:val="0"/>
        <w:snapToGrid w:val="0"/>
        <w:spacing w:after="0" w:line="240" w:lineRule="auto"/>
        <w:jc w:val="both"/>
        <w:rPr>
          <w:rFonts w:eastAsia="Malgun Gothic" w:cstheme="minorHAnsi"/>
          <w:lang w:val="en-AU" w:eastAsia="ko-KR"/>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40D64" w:rsidRPr="00DA0EE6" w14:paraId="6B79A8F8" w14:textId="77777777" w:rsidTr="009C236C">
        <w:tc>
          <w:tcPr>
            <w:tcW w:w="5000" w:type="pct"/>
            <w:vAlign w:val="center"/>
          </w:tcPr>
          <w:p w14:paraId="50F89504" w14:textId="77777777" w:rsidR="00140D64" w:rsidRPr="00DA0EE6" w:rsidRDefault="00140D64" w:rsidP="00167819">
            <w:pPr>
              <w:adjustRightInd w:val="0"/>
              <w:snapToGrid w:val="0"/>
              <w:jc w:val="center"/>
              <w:rPr>
                <w:rFonts w:asciiTheme="minorHAnsi" w:eastAsia="Malgun Gothic" w:hAnsiTheme="minorHAnsi" w:cstheme="minorHAnsi"/>
                <w:lang w:eastAsia="ko-KR"/>
              </w:rPr>
            </w:pPr>
            <w:r w:rsidRPr="00DA0EE6">
              <w:rPr>
                <w:rFonts w:cstheme="minorHAnsi"/>
                <w:noProof/>
                <w:lang w:eastAsia="ko-KR"/>
              </w:rPr>
              <w:lastRenderedPageBreak/>
              <w:drawing>
                <wp:inline distT="0" distB="0" distL="0" distR="0" wp14:anchorId="3FF0E3FB" wp14:editId="1766D91F">
                  <wp:extent cx="3820438" cy="3820438"/>
                  <wp:effectExtent l="0" t="0" r="889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Majuro_Temporal.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12501" cy="3812501"/>
                          </a:xfrm>
                          <a:prstGeom prst="rect">
                            <a:avLst/>
                          </a:prstGeom>
                        </pic:spPr>
                      </pic:pic>
                    </a:graphicData>
                  </a:graphic>
                </wp:inline>
              </w:drawing>
            </w:r>
          </w:p>
        </w:tc>
      </w:tr>
      <w:tr w:rsidR="00140D64" w:rsidRPr="00DA0EE6" w14:paraId="79A484BB" w14:textId="77777777" w:rsidTr="009C236C">
        <w:tc>
          <w:tcPr>
            <w:tcW w:w="5000" w:type="pct"/>
            <w:vAlign w:val="center"/>
          </w:tcPr>
          <w:p w14:paraId="35542F3A" w14:textId="77777777" w:rsidR="00140D64" w:rsidRPr="00DA0EE6" w:rsidRDefault="00140D64" w:rsidP="00167819">
            <w:pPr>
              <w:adjustRightInd w:val="0"/>
              <w:snapToGrid w:val="0"/>
              <w:jc w:val="center"/>
              <w:rPr>
                <w:rFonts w:asciiTheme="minorHAnsi" w:hAnsiTheme="minorHAnsi" w:cstheme="minorHAnsi"/>
                <w:noProof/>
                <w:lang w:val="en-US" w:eastAsia="zh-CN" w:bidi="mn-Mong-CN"/>
              </w:rPr>
            </w:pPr>
            <w:r w:rsidRPr="00DA0EE6">
              <w:rPr>
                <w:rFonts w:cstheme="minorHAnsi"/>
                <w:noProof/>
                <w:lang w:eastAsia="ko-KR"/>
              </w:rPr>
              <w:drawing>
                <wp:inline distT="0" distB="0" distL="0" distR="0" wp14:anchorId="5FA431EF" wp14:editId="391C7617">
                  <wp:extent cx="3720230" cy="37202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Kobe_Temporal.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12502" cy="3712502"/>
                          </a:xfrm>
                          <a:prstGeom prst="rect">
                            <a:avLst/>
                          </a:prstGeom>
                        </pic:spPr>
                      </pic:pic>
                    </a:graphicData>
                  </a:graphic>
                </wp:inline>
              </w:drawing>
            </w:r>
          </w:p>
        </w:tc>
      </w:tr>
    </w:tbl>
    <w:p w14:paraId="3784F0C5" w14:textId="77777777" w:rsidR="00140D64" w:rsidRPr="00DA0EE6" w:rsidRDefault="00140D64" w:rsidP="00167819">
      <w:pPr>
        <w:adjustRightInd w:val="0"/>
        <w:snapToGrid w:val="0"/>
        <w:spacing w:after="0" w:line="240" w:lineRule="auto"/>
        <w:jc w:val="both"/>
        <w:rPr>
          <w:rFonts w:eastAsia="Malgun Gothic" w:cstheme="minorHAnsi"/>
          <w:lang w:val="en-AU" w:eastAsia="ko-KR"/>
        </w:rPr>
      </w:pPr>
      <w:r w:rsidRPr="00DA0EE6">
        <w:rPr>
          <w:rFonts w:eastAsia="Malgun Gothic" w:cstheme="minorHAnsi"/>
          <w:b/>
          <w:bCs/>
          <w:lang w:val="en-AU" w:eastAsia="ko-KR"/>
        </w:rPr>
        <w:t>Figure YFT-10.</w:t>
      </w:r>
      <w:r w:rsidRPr="00DA0EE6">
        <w:rPr>
          <w:rFonts w:eastAsia="Malgun Gothic" w:cstheme="minorHAnsi"/>
          <w:lang w:val="en-AU" w:eastAsia="ko-KR"/>
        </w:rPr>
        <w:t xml:space="preserve"> </w:t>
      </w:r>
      <w:r w:rsidRPr="00DA0EE6">
        <w:rPr>
          <w:rFonts w:eastAsia="MS Mincho" w:cstheme="minorHAnsi"/>
          <w:lang w:val="en-AU" w:eastAsia="en-AU"/>
        </w:rPr>
        <w:t>Estimated time-series (or “dynamic”) Majuro and Kobe plots from the yellowfin ‘diagnostic case’ model run.</w:t>
      </w:r>
    </w:p>
    <w:p w14:paraId="021592B5" w14:textId="77777777" w:rsidR="00140D64" w:rsidRPr="00DA0EE6" w:rsidRDefault="00140D64" w:rsidP="00167819">
      <w:pPr>
        <w:adjustRightInd w:val="0"/>
        <w:snapToGrid w:val="0"/>
        <w:spacing w:after="0" w:line="240" w:lineRule="auto"/>
        <w:ind w:left="578"/>
        <w:jc w:val="both"/>
        <w:rPr>
          <w:rFonts w:eastAsia="MS Mincho" w:cstheme="minorHAnsi"/>
          <w:b/>
          <w:bCs/>
          <w:lang w:val="en-AU" w:eastAsia="en-AU"/>
        </w:rPr>
      </w:pPr>
    </w:p>
    <w:p w14:paraId="10A9D4C4" w14:textId="77777777" w:rsidR="00140D64" w:rsidRPr="00DA0EE6" w:rsidRDefault="00140D64" w:rsidP="00167819">
      <w:pPr>
        <w:adjustRightInd w:val="0"/>
        <w:snapToGrid w:val="0"/>
        <w:spacing w:after="0" w:line="240" w:lineRule="auto"/>
        <w:jc w:val="both"/>
        <w:rPr>
          <w:rFonts w:eastAsia="MS Mincho" w:cstheme="minorHAnsi"/>
          <w:b/>
          <w:bCs/>
          <w:lang w:val="en-AU" w:eastAsia="en-AU"/>
        </w:rPr>
      </w:pPr>
      <w:r w:rsidRPr="00DA0EE6">
        <w:rPr>
          <w:rFonts w:eastAsia="MS Mincho" w:cstheme="minorHAnsi"/>
          <w:b/>
          <w:noProof/>
          <w:lang w:eastAsia="ko-KR"/>
        </w:rPr>
        <w:lastRenderedPageBreak/>
        <w:drawing>
          <wp:inline distT="0" distB="0" distL="0" distR="0" wp14:anchorId="13EB2926" wp14:editId="21DFA759">
            <wp:extent cx="5949863" cy="5949863"/>
            <wp:effectExtent l="0" t="0" r="0" b="0"/>
            <wp:docPr id="27" name="Picture 26" descr="plot_fishery_impact_YF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ot_fishery_impact_YFT-SSB"/>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6038" cy="5946038"/>
                    </a:xfrm>
                    <a:prstGeom prst="rect">
                      <a:avLst/>
                    </a:prstGeom>
                    <a:noFill/>
                    <a:ln>
                      <a:noFill/>
                    </a:ln>
                  </pic:spPr>
                </pic:pic>
              </a:graphicData>
            </a:graphic>
          </wp:inline>
        </w:drawing>
      </w:r>
    </w:p>
    <w:p w14:paraId="5E5420B8" w14:textId="77777777" w:rsidR="00140D64" w:rsidRPr="00DA0EE6" w:rsidRDefault="00140D64" w:rsidP="00167819">
      <w:pPr>
        <w:adjustRightInd w:val="0"/>
        <w:snapToGrid w:val="0"/>
        <w:spacing w:after="0" w:line="240" w:lineRule="auto"/>
        <w:rPr>
          <w:rFonts w:eastAsia="MS Mincho" w:cstheme="minorHAnsi"/>
          <w:bCs/>
          <w:noProof/>
          <w:lang w:val="en-AU" w:eastAsia="en-AU"/>
        </w:rPr>
      </w:pPr>
      <w:r w:rsidRPr="00DA0EE6">
        <w:rPr>
          <w:rFonts w:eastAsia="MS Mincho" w:cstheme="minorHAnsi"/>
          <w:b/>
          <w:bCs/>
          <w:lang w:val="en-AU" w:eastAsia="en-AU"/>
        </w:rPr>
        <w:t>Figure YFT-1</w:t>
      </w:r>
      <w:r w:rsidRPr="00DA0EE6">
        <w:rPr>
          <w:rFonts w:eastAsia="Malgun Gothic" w:cstheme="minorHAnsi"/>
          <w:b/>
          <w:bCs/>
          <w:lang w:val="en-AU" w:eastAsia="ko-KR"/>
        </w:rPr>
        <w:t>1</w:t>
      </w:r>
      <w:r w:rsidRPr="00DA0EE6">
        <w:rPr>
          <w:rFonts w:eastAsia="MS Mincho" w:cstheme="minorHAnsi"/>
          <w:lang w:val="en-AU" w:eastAsia="en-AU"/>
        </w:rPr>
        <w:t>. Estimates of reduction in spawning potential due to fishing by region, and over all regions (lower right panel), attributed to various fishery groups (gear-types) for the diagnostic case model.</w:t>
      </w:r>
    </w:p>
    <w:p w14:paraId="5C78288E" w14:textId="77777777" w:rsidR="00140D64" w:rsidRPr="00DA0EE6" w:rsidRDefault="00140D64" w:rsidP="00167819">
      <w:pPr>
        <w:adjustRightInd w:val="0"/>
        <w:snapToGrid w:val="0"/>
        <w:spacing w:after="0" w:line="240" w:lineRule="auto"/>
        <w:ind w:left="578"/>
        <w:jc w:val="both"/>
        <w:rPr>
          <w:rFonts w:eastAsia="MS Mincho" w:cstheme="minorHAnsi"/>
          <w:b/>
          <w:bCs/>
          <w:lang w:val="en-AU" w:eastAsia="en-AU"/>
        </w:rPr>
      </w:pPr>
    </w:p>
    <w:p w14:paraId="08B8B724" w14:textId="77777777" w:rsidR="00140D64" w:rsidRPr="00DA0EE6" w:rsidRDefault="00140D64" w:rsidP="00167819">
      <w:pPr>
        <w:adjustRightInd w:val="0"/>
        <w:snapToGrid w:val="0"/>
        <w:spacing w:after="0" w:line="240" w:lineRule="auto"/>
        <w:rPr>
          <w:rFonts w:eastAsia="MS Mincho" w:cstheme="minorHAnsi"/>
          <w:b/>
          <w:bCs/>
          <w:lang w:val="en-AU" w:eastAsia="en-AU"/>
        </w:rPr>
      </w:pPr>
      <w:r w:rsidRPr="00DA0EE6">
        <w:rPr>
          <w:rFonts w:eastAsia="Malgun Gothic" w:cstheme="minorHAnsi"/>
          <w:b/>
          <w:bCs/>
          <w:lang w:val="en-NZ"/>
        </w:rPr>
        <w:br w:type="page"/>
      </w:r>
    </w:p>
    <w:p w14:paraId="3156949B" w14:textId="77777777" w:rsidR="00140D64" w:rsidRPr="00DA0EE6" w:rsidRDefault="00140D64" w:rsidP="00167819">
      <w:pPr>
        <w:adjustRightInd w:val="0"/>
        <w:snapToGrid w:val="0"/>
        <w:spacing w:after="0" w:line="240" w:lineRule="auto"/>
        <w:jc w:val="both"/>
        <w:rPr>
          <w:rFonts w:eastAsia="MS Mincho" w:cstheme="minorHAnsi"/>
          <w:lang w:val="en-AU" w:eastAsia="zh-TW"/>
        </w:rPr>
      </w:pPr>
      <w:r w:rsidRPr="00DA0EE6">
        <w:rPr>
          <w:rFonts w:eastAsia="MS Mincho" w:cstheme="minorHAnsi"/>
          <w:b/>
          <w:bCs/>
          <w:lang w:val="en-AU" w:eastAsia="en-AU"/>
        </w:rPr>
        <w:lastRenderedPageBreak/>
        <w:t>Table YFT-2</w:t>
      </w:r>
      <w:r w:rsidRPr="00DA0EE6">
        <w:rPr>
          <w:rFonts w:eastAsia="MS Mincho" w:cstheme="minorHAnsi"/>
          <w:lang w:val="en-AU" w:eastAsia="en-AU"/>
        </w:rPr>
        <w:t>.  Summary of reference points over the 48 models in the structural uncertainty grid retained for management advice using divisors of 20 and 50 for the weighting on the size composition data. Note that SB</w:t>
      </w:r>
      <w:r w:rsidRPr="00DA0EE6">
        <w:rPr>
          <w:rFonts w:eastAsia="MS Mincho" w:cstheme="minorHAnsi"/>
          <w:i/>
          <w:vertAlign w:val="subscript"/>
          <w:lang w:val="en-AU" w:eastAsia="en-AU"/>
        </w:rPr>
        <w:t>recent</w:t>
      </w:r>
      <w:r w:rsidRPr="00DA0EE6">
        <w:rPr>
          <w:rFonts w:eastAsia="MS Mincho" w:cstheme="minorHAnsi"/>
          <w:lang w:val="en-AU" w:eastAsia="en-AU"/>
        </w:rPr>
        <w:t>/SB</w:t>
      </w:r>
      <w:r w:rsidRPr="00DA0EE6">
        <w:rPr>
          <w:rFonts w:eastAsia="MS Mincho" w:cstheme="minorHAnsi"/>
          <w:i/>
          <w:vertAlign w:val="subscript"/>
          <w:lang w:val="en-AU" w:eastAsia="en-AU"/>
        </w:rPr>
        <w:t>F=0</w:t>
      </w:r>
      <w:r w:rsidRPr="00DA0EE6">
        <w:rPr>
          <w:rFonts w:eastAsia="MS Mincho" w:cstheme="minorHAnsi"/>
          <w:i/>
          <w:lang w:val="en-AU" w:eastAsia="en-AU"/>
        </w:rPr>
        <w:t xml:space="preserve"> </w:t>
      </w:r>
      <w:r w:rsidRPr="00DA0EE6">
        <w:rPr>
          <w:rFonts w:eastAsia="MS Mincho" w:cstheme="minorHAnsi"/>
          <w:lang w:val="en-AU" w:eastAsia="en-AU"/>
        </w:rPr>
        <w:t>is calculated where SB</w:t>
      </w:r>
      <w:r w:rsidRPr="00DA0EE6">
        <w:rPr>
          <w:rFonts w:eastAsia="MS Mincho" w:cstheme="minorHAnsi"/>
          <w:i/>
          <w:vertAlign w:val="subscript"/>
          <w:lang w:val="en-AU" w:eastAsia="en-AU"/>
        </w:rPr>
        <w:t>recent</w:t>
      </w:r>
      <w:r w:rsidRPr="00DA0EE6">
        <w:rPr>
          <w:rFonts w:eastAsia="MS Mincho" w:cstheme="minorHAnsi"/>
          <w:lang w:val="en-AU" w:eastAsia="en-AU"/>
        </w:rPr>
        <w:t xml:space="preserve"> is the mean SB over 2012-2015 instead of 2011-2014 (used in the stock assessment report), at the request of the Scientific Committee.</w:t>
      </w:r>
    </w:p>
    <w:tbl>
      <w:tblPr>
        <w:tblW w:w="0" w:type="auto"/>
        <w:tblBorders>
          <w:top w:val="single" w:sz="4" w:space="0" w:color="auto"/>
          <w:bottom w:val="single" w:sz="4" w:space="0" w:color="auto"/>
        </w:tblBorders>
        <w:tblLook w:val="04A0" w:firstRow="1" w:lastRow="0" w:firstColumn="1" w:lastColumn="0" w:noHBand="0" w:noVBand="1"/>
      </w:tblPr>
      <w:tblGrid>
        <w:gridCol w:w="1437"/>
        <w:gridCol w:w="1264"/>
        <w:gridCol w:w="1265"/>
        <w:gridCol w:w="1265"/>
        <w:gridCol w:w="1265"/>
        <w:gridCol w:w="1265"/>
        <w:gridCol w:w="1265"/>
      </w:tblGrid>
      <w:tr w:rsidR="00140D64" w:rsidRPr="00DA0EE6" w14:paraId="5572D1C5" w14:textId="77777777" w:rsidTr="009C236C">
        <w:tc>
          <w:tcPr>
            <w:tcW w:w="1437" w:type="dxa"/>
            <w:tcBorders>
              <w:top w:val="single" w:sz="4" w:space="0" w:color="auto"/>
              <w:left w:val="nil"/>
              <w:bottom w:val="single" w:sz="4" w:space="0" w:color="auto"/>
              <w:right w:val="nil"/>
            </w:tcBorders>
            <w:shd w:val="clear" w:color="auto" w:fill="auto"/>
          </w:tcPr>
          <w:p w14:paraId="618FBE72" w14:textId="77777777" w:rsidR="00140D64" w:rsidRPr="00DA0EE6" w:rsidRDefault="00140D64" w:rsidP="00167819">
            <w:pPr>
              <w:adjustRightInd w:val="0"/>
              <w:snapToGrid w:val="0"/>
              <w:spacing w:after="0" w:line="240" w:lineRule="auto"/>
              <w:jc w:val="both"/>
              <w:rPr>
                <w:rFonts w:eastAsia="PMingLiU" w:cstheme="minorHAnsi"/>
                <w:b/>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628A07D5"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645B7036"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22ECAECC"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6CFA8027"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61135346"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3D6E8F0E" w14:textId="77777777" w:rsidR="00140D64" w:rsidRPr="00DA0EE6" w:rsidRDefault="00140D64" w:rsidP="00167819">
            <w:pPr>
              <w:adjustRightInd w:val="0"/>
              <w:snapToGrid w:val="0"/>
              <w:spacing w:after="0" w:line="240" w:lineRule="auto"/>
              <w:jc w:val="center"/>
              <w:rPr>
                <w:rFonts w:eastAsia="PMingLiU" w:cstheme="minorHAnsi"/>
                <w:b/>
                <w:lang w:val="en-AU"/>
              </w:rPr>
            </w:pPr>
            <w:r w:rsidRPr="00DA0EE6">
              <w:rPr>
                <w:rFonts w:eastAsia="PMingLiU" w:cstheme="minorHAnsi"/>
                <w:b/>
                <w:lang w:val="en-AU"/>
              </w:rPr>
              <w:t>Max</w:t>
            </w:r>
          </w:p>
        </w:tc>
      </w:tr>
      <w:tr w:rsidR="00140D64" w:rsidRPr="00DA0EE6" w14:paraId="2CAD7F44" w14:textId="77777777" w:rsidTr="009C236C">
        <w:tc>
          <w:tcPr>
            <w:tcW w:w="1437" w:type="dxa"/>
            <w:tcBorders>
              <w:top w:val="single" w:sz="4" w:space="0" w:color="auto"/>
              <w:left w:val="nil"/>
              <w:bottom w:val="nil"/>
              <w:right w:val="nil"/>
            </w:tcBorders>
            <w:shd w:val="clear" w:color="auto" w:fill="auto"/>
            <w:hideMark/>
          </w:tcPr>
          <w:p w14:paraId="30E6498F"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C</w:t>
            </w:r>
            <w:r w:rsidRPr="00DA0EE6">
              <w:rPr>
                <w:rFonts w:eastAsia="PMingLiU" w:cstheme="minorHAnsi"/>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0DA0C85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611,982</w:t>
            </w:r>
          </w:p>
        </w:tc>
        <w:tc>
          <w:tcPr>
            <w:tcW w:w="1265" w:type="dxa"/>
            <w:tcBorders>
              <w:top w:val="single" w:sz="4" w:space="0" w:color="auto"/>
              <w:left w:val="nil"/>
              <w:bottom w:val="nil"/>
              <w:right w:val="nil"/>
            </w:tcBorders>
            <w:shd w:val="clear" w:color="auto" w:fill="auto"/>
            <w:vAlign w:val="bottom"/>
            <w:hideMark/>
          </w:tcPr>
          <w:p w14:paraId="6C339AA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612,592</w:t>
            </w:r>
          </w:p>
        </w:tc>
        <w:tc>
          <w:tcPr>
            <w:tcW w:w="1265" w:type="dxa"/>
            <w:tcBorders>
              <w:top w:val="single" w:sz="4" w:space="0" w:color="auto"/>
              <w:left w:val="nil"/>
              <w:bottom w:val="nil"/>
              <w:right w:val="nil"/>
            </w:tcBorders>
            <w:shd w:val="clear" w:color="auto" w:fill="auto"/>
            <w:vAlign w:val="bottom"/>
            <w:hideMark/>
          </w:tcPr>
          <w:p w14:paraId="12C211E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606,762</w:t>
            </w:r>
          </w:p>
        </w:tc>
        <w:tc>
          <w:tcPr>
            <w:tcW w:w="1265" w:type="dxa"/>
            <w:tcBorders>
              <w:top w:val="single" w:sz="4" w:space="0" w:color="auto"/>
              <w:left w:val="nil"/>
              <w:bottom w:val="nil"/>
              <w:right w:val="nil"/>
            </w:tcBorders>
            <w:shd w:val="clear" w:color="auto" w:fill="auto"/>
            <w:vAlign w:val="bottom"/>
            <w:hideMark/>
          </w:tcPr>
          <w:p w14:paraId="3A368FB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607,517</w:t>
            </w:r>
          </w:p>
        </w:tc>
        <w:tc>
          <w:tcPr>
            <w:tcW w:w="1265" w:type="dxa"/>
            <w:tcBorders>
              <w:top w:val="single" w:sz="4" w:space="0" w:color="auto"/>
              <w:left w:val="nil"/>
              <w:bottom w:val="nil"/>
              <w:right w:val="nil"/>
            </w:tcBorders>
            <w:shd w:val="clear" w:color="auto" w:fill="auto"/>
            <w:vAlign w:val="bottom"/>
            <w:hideMark/>
          </w:tcPr>
          <w:p w14:paraId="5A34E29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614,237</w:t>
            </w:r>
          </w:p>
        </w:tc>
        <w:tc>
          <w:tcPr>
            <w:tcW w:w="1265" w:type="dxa"/>
            <w:tcBorders>
              <w:top w:val="single" w:sz="4" w:space="0" w:color="auto"/>
              <w:left w:val="nil"/>
              <w:bottom w:val="nil"/>
              <w:right w:val="nil"/>
            </w:tcBorders>
            <w:shd w:val="clear" w:color="auto" w:fill="auto"/>
            <w:vAlign w:val="bottom"/>
            <w:hideMark/>
          </w:tcPr>
          <w:p w14:paraId="39E54C5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614,801</w:t>
            </w:r>
          </w:p>
        </w:tc>
      </w:tr>
      <w:tr w:rsidR="00140D64" w:rsidRPr="00DA0EE6" w14:paraId="7F420C57" w14:textId="77777777" w:rsidTr="009C236C">
        <w:tc>
          <w:tcPr>
            <w:tcW w:w="1437" w:type="dxa"/>
            <w:tcBorders>
              <w:top w:val="nil"/>
              <w:left w:val="nil"/>
              <w:bottom w:val="nil"/>
              <w:right w:val="nil"/>
            </w:tcBorders>
            <w:shd w:val="clear" w:color="auto" w:fill="auto"/>
            <w:hideMark/>
          </w:tcPr>
          <w:p w14:paraId="16F82441"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MSY</w:t>
            </w:r>
          </w:p>
        </w:tc>
        <w:tc>
          <w:tcPr>
            <w:tcW w:w="1264" w:type="dxa"/>
            <w:tcBorders>
              <w:top w:val="nil"/>
              <w:left w:val="nil"/>
              <w:bottom w:val="nil"/>
              <w:right w:val="nil"/>
            </w:tcBorders>
            <w:shd w:val="clear" w:color="auto" w:fill="auto"/>
            <w:vAlign w:val="bottom"/>
            <w:hideMark/>
          </w:tcPr>
          <w:p w14:paraId="48938F3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670,658</w:t>
            </w:r>
          </w:p>
        </w:tc>
        <w:tc>
          <w:tcPr>
            <w:tcW w:w="1265" w:type="dxa"/>
            <w:tcBorders>
              <w:top w:val="nil"/>
              <w:left w:val="nil"/>
              <w:bottom w:val="nil"/>
              <w:right w:val="nil"/>
            </w:tcBorders>
            <w:shd w:val="clear" w:color="auto" w:fill="auto"/>
            <w:vAlign w:val="bottom"/>
            <w:hideMark/>
          </w:tcPr>
          <w:p w14:paraId="5FE9A39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670,800</w:t>
            </w:r>
          </w:p>
        </w:tc>
        <w:tc>
          <w:tcPr>
            <w:tcW w:w="1265" w:type="dxa"/>
            <w:tcBorders>
              <w:top w:val="nil"/>
              <w:left w:val="nil"/>
              <w:bottom w:val="nil"/>
              <w:right w:val="nil"/>
            </w:tcBorders>
            <w:shd w:val="clear" w:color="auto" w:fill="auto"/>
            <w:vAlign w:val="bottom"/>
            <w:hideMark/>
          </w:tcPr>
          <w:p w14:paraId="2134DE2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539,200</w:t>
            </w:r>
          </w:p>
        </w:tc>
        <w:tc>
          <w:tcPr>
            <w:tcW w:w="1265" w:type="dxa"/>
            <w:tcBorders>
              <w:top w:val="nil"/>
              <w:left w:val="nil"/>
              <w:bottom w:val="nil"/>
              <w:right w:val="nil"/>
            </w:tcBorders>
            <w:shd w:val="clear" w:color="auto" w:fill="auto"/>
            <w:vAlign w:val="bottom"/>
            <w:hideMark/>
          </w:tcPr>
          <w:p w14:paraId="043C186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601,480</w:t>
            </w:r>
          </w:p>
        </w:tc>
        <w:tc>
          <w:tcPr>
            <w:tcW w:w="1265" w:type="dxa"/>
            <w:tcBorders>
              <w:top w:val="nil"/>
              <w:left w:val="nil"/>
              <w:bottom w:val="nil"/>
              <w:right w:val="nil"/>
            </w:tcBorders>
            <w:shd w:val="clear" w:color="auto" w:fill="auto"/>
            <w:vAlign w:val="bottom"/>
            <w:hideMark/>
          </w:tcPr>
          <w:p w14:paraId="1081CA4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735,280</w:t>
            </w:r>
          </w:p>
        </w:tc>
        <w:tc>
          <w:tcPr>
            <w:tcW w:w="1265" w:type="dxa"/>
            <w:tcBorders>
              <w:top w:val="nil"/>
              <w:left w:val="nil"/>
              <w:bottom w:val="nil"/>
              <w:right w:val="nil"/>
            </w:tcBorders>
            <w:shd w:val="clear" w:color="auto" w:fill="auto"/>
            <w:vAlign w:val="bottom"/>
            <w:hideMark/>
          </w:tcPr>
          <w:p w14:paraId="5E3A57A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795,200</w:t>
            </w:r>
          </w:p>
        </w:tc>
      </w:tr>
      <w:tr w:rsidR="00140D64" w:rsidRPr="00DA0EE6" w14:paraId="626AB747" w14:textId="77777777" w:rsidTr="009C236C">
        <w:tc>
          <w:tcPr>
            <w:tcW w:w="1437" w:type="dxa"/>
            <w:tcBorders>
              <w:top w:val="nil"/>
              <w:left w:val="nil"/>
              <w:bottom w:val="nil"/>
              <w:right w:val="nil"/>
            </w:tcBorders>
            <w:shd w:val="clear" w:color="auto" w:fill="auto"/>
            <w:hideMark/>
          </w:tcPr>
          <w:p w14:paraId="23E061EA"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Y</w:t>
            </w:r>
            <w:r w:rsidRPr="00DA0EE6">
              <w:rPr>
                <w:rFonts w:eastAsia="PMingLiU" w:cstheme="minorHAnsi"/>
                <w:i/>
                <w:vertAlign w:val="subscript"/>
                <w:lang w:val="en-AU"/>
              </w:rPr>
              <w:t>Frecent</w:t>
            </w:r>
          </w:p>
        </w:tc>
        <w:tc>
          <w:tcPr>
            <w:tcW w:w="1264" w:type="dxa"/>
            <w:tcBorders>
              <w:top w:val="nil"/>
              <w:left w:val="nil"/>
              <w:bottom w:val="nil"/>
              <w:right w:val="nil"/>
            </w:tcBorders>
            <w:shd w:val="clear" w:color="auto" w:fill="auto"/>
            <w:vAlign w:val="bottom"/>
            <w:hideMark/>
          </w:tcPr>
          <w:p w14:paraId="72190EA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646,075</w:t>
            </w:r>
          </w:p>
        </w:tc>
        <w:tc>
          <w:tcPr>
            <w:tcW w:w="1265" w:type="dxa"/>
            <w:tcBorders>
              <w:top w:val="nil"/>
              <w:left w:val="nil"/>
              <w:bottom w:val="nil"/>
              <w:right w:val="nil"/>
            </w:tcBorders>
            <w:shd w:val="clear" w:color="auto" w:fill="auto"/>
            <w:vAlign w:val="bottom"/>
            <w:hideMark/>
          </w:tcPr>
          <w:p w14:paraId="4654ACF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643,400</w:t>
            </w:r>
          </w:p>
        </w:tc>
        <w:tc>
          <w:tcPr>
            <w:tcW w:w="1265" w:type="dxa"/>
            <w:tcBorders>
              <w:top w:val="nil"/>
              <w:left w:val="nil"/>
              <w:bottom w:val="nil"/>
              <w:right w:val="nil"/>
            </w:tcBorders>
            <w:shd w:val="clear" w:color="auto" w:fill="auto"/>
            <w:vAlign w:val="bottom"/>
            <w:hideMark/>
          </w:tcPr>
          <w:p w14:paraId="397C102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534,400</w:t>
            </w:r>
          </w:p>
        </w:tc>
        <w:tc>
          <w:tcPr>
            <w:tcW w:w="1265" w:type="dxa"/>
            <w:tcBorders>
              <w:top w:val="nil"/>
              <w:left w:val="nil"/>
              <w:bottom w:val="nil"/>
              <w:right w:val="nil"/>
            </w:tcBorders>
            <w:shd w:val="clear" w:color="auto" w:fill="auto"/>
            <w:vAlign w:val="bottom"/>
            <w:hideMark/>
          </w:tcPr>
          <w:p w14:paraId="67840673"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586,120</w:t>
            </w:r>
          </w:p>
        </w:tc>
        <w:tc>
          <w:tcPr>
            <w:tcW w:w="1265" w:type="dxa"/>
            <w:tcBorders>
              <w:top w:val="nil"/>
              <w:left w:val="nil"/>
              <w:bottom w:val="nil"/>
              <w:right w:val="nil"/>
            </w:tcBorders>
            <w:shd w:val="clear" w:color="auto" w:fill="auto"/>
            <w:vAlign w:val="bottom"/>
            <w:hideMark/>
          </w:tcPr>
          <w:p w14:paraId="4EF84DA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717,880</w:t>
            </w:r>
          </w:p>
        </w:tc>
        <w:tc>
          <w:tcPr>
            <w:tcW w:w="1265" w:type="dxa"/>
            <w:tcBorders>
              <w:top w:val="nil"/>
              <w:left w:val="nil"/>
              <w:bottom w:val="nil"/>
              <w:right w:val="nil"/>
            </w:tcBorders>
            <w:shd w:val="clear" w:color="auto" w:fill="auto"/>
            <w:vAlign w:val="bottom"/>
            <w:hideMark/>
          </w:tcPr>
          <w:p w14:paraId="26C804B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739,600</w:t>
            </w:r>
          </w:p>
        </w:tc>
      </w:tr>
      <w:tr w:rsidR="00140D64" w:rsidRPr="00DA0EE6" w14:paraId="05569778" w14:textId="77777777" w:rsidTr="009C236C">
        <w:tc>
          <w:tcPr>
            <w:tcW w:w="1437" w:type="dxa"/>
            <w:tcBorders>
              <w:top w:val="nil"/>
              <w:left w:val="nil"/>
              <w:bottom w:val="nil"/>
              <w:right w:val="nil"/>
            </w:tcBorders>
            <w:shd w:val="clear" w:color="auto" w:fill="auto"/>
            <w:hideMark/>
          </w:tcPr>
          <w:p w14:paraId="3305F8DC"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F</w:t>
            </w:r>
            <w:r w:rsidRPr="00DA0EE6">
              <w:rPr>
                <w:rFonts w:eastAsia="PMingLiU" w:cstheme="minorHAnsi"/>
                <w:i/>
                <w:vertAlign w:val="subscript"/>
                <w:lang w:val="en-AU"/>
              </w:rPr>
              <w:t>mult</w:t>
            </w:r>
          </w:p>
        </w:tc>
        <w:tc>
          <w:tcPr>
            <w:tcW w:w="1264" w:type="dxa"/>
            <w:tcBorders>
              <w:top w:val="nil"/>
              <w:left w:val="nil"/>
              <w:bottom w:val="nil"/>
              <w:right w:val="nil"/>
            </w:tcBorders>
            <w:shd w:val="clear" w:color="auto" w:fill="auto"/>
            <w:vAlign w:val="bottom"/>
            <w:hideMark/>
          </w:tcPr>
          <w:p w14:paraId="0728D02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1.34</w:t>
            </w:r>
          </w:p>
        </w:tc>
        <w:tc>
          <w:tcPr>
            <w:tcW w:w="1265" w:type="dxa"/>
            <w:tcBorders>
              <w:top w:val="nil"/>
              <w:left w:val="nil"/>
              <w:bottom w:val="nil"/>
              <w:right w:val="nil"/>
            </w:tcBorders>
            <w:shd w:val="clear" w:color="auto" w:fill="auto"/>
            <w:vAlign w:val="bottom"/>
            <w:hideMark/>
          </w:tcPr>
          <w:p w14:paraId="43C59BB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1.36</w:t>
            </w:r>
          </w:p>
        </w:tc>
        <w:tc>
          <w:tcPr>
            <w:tcW w:w="1265" w:type="dxa"/>
            <w:tcBorders>
              <w:top w:val="nil"/>
              <w:left w:val="nil"/>
              <w:bottom w:val="nil"/>
              <w:right w:val="nil"/>
            </w:tcBorders>
            <w:shd w:val="clear" w:color="auto" w:fill="auto"/>
            <w:vAlign w:val="bottom"/>
            <w:hideMark/>
          </w:tcPr>
          <w:p w14:paraId="0EF4976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0.88</w:t>
            </w:r>
          </w:p>
        </w:tc>
        <w:tc>
          <w:tcPr>
            <w:tcW w:w="1265" w:type="dxa"/>
            <w:tcBorders>
              <w:top w:val="nil"/>
              <w:left w:val="nil"/>
              <w:bottom w:val="nil"/>
              <w:right w:val="nil"/>
            </w:tcBorders>
            <w:shd w:val="clear" w:color="auto" w:fill="auto"/>
            <w:vAlign w:val="bottom"/>
            <w:hideMark/>
          </w:tcPr>
          <w:p w14:paraId="585FFF1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1.03</w:t>
            </w:r>
          </w:p>
        </w:tc>
        <w:tc>
          <w:tcPr>
            <w:tcW w:w="1265" w:type="dxa"/>
            <w:tcBorders>
              <w:top w:val="nil"/>
              <w:left w:val="nil"/>
              <w:bottom w:val="nil"/>
              <w:right w:val="nil"/>
            </w:tcBorders>
            <w:shd w:val="clear" w:color="auto" w:fill="auto"/>
            <w:vAlign w:val="bottom"/>
            <w:hideMark/>
          </w:tcPr>
          <w:p w14:paraId="75C8E3B3"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1.61</w:t>
            </w:r>
          </w:p>
        </w:tc>
        <w:tc>
          <w:tcPr>
            <w:tcW w:w="1265" w:type="dxa"/>
            <w:tcBorders>
              <w:top w:val="nil"/>
              <w:left w:val="nil"/>
              <w:bottom w:val="nil"/>
              <w:right w:val="nil"/>
            </w:tcBorders>
            <w:shd w:val="clear" w:color="auto" w:fill="auto"/>
            <w:vAlign w:val="bottom"/>
            <w:hideMark/>
          </w:tcPr>
          <w:p w14:paraId="36D4308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1.86</w:t>
            </w:r>
          </w:p>
        </w:tc>
      </w:tr>
      <w:tr w:rsidR="00140D64" w:rsidRPr="00DA0EE6" w14:paraId="50B07833" w14:textId="77777777" w:rsidTr="009C236C">
        <w:tc>
          <w:tcPr>
            <w:tcW w:w="1437" w:type="dxa"/>
            <w:tcBorders>
              <w:top w:val="nil"/>
              <w:left w:val="nil"/>
              <w:bottom w:val="nil"/>
              <w:right w:val="nil"/>
            </w:tcBorders>
            <w:shd w:val="clear" w:color="auto" w:fill="auto"/>
            <w:hideMark/>
          </w:tcPr>
          <w:p w14:paraId="65FD83B3"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F</w:t>
            </w:r>
            <w:r w:rsidRPr="00DA0EE6">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49B2513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0.12</w:t>
            </w:r>
          </w:p>
        </w:tc>
        <w:tc>
          <w:tcPr>
            <w:tcW w:w="1265" w:type="dxa"/>
            <w:tcBorders>
              <w:top w:val="nil"/>
              <w:left w:val="nil"/>
              <w:bottom w:val="nil"/>
              <w:right w:val="nil"/>
            </w:tcBorders>
            <w:shd w:val="clear" w:color="auto" w:fill="auto"/>
            <w:vAlign w:val="bottom"/>
            <w:hideMark/>
          </w:tcPr>
          <w:p w14:paraId="58E2164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0.12</w:t>
            </w:r>
          </w:p>
        </w:tc>
        <w:tc>
          <w:tcPr>
            <w:tcW w:w="1265" w:type="dxa"/>
            <w:tcBorders>
              <w:top w:val="nil"/>
              <w:left w:val="nil"/>
              <w:bottom w:val="nil"/>
              <w:right w:val="nil"/>
            </w:tcBorders>
            <w:shd w:val="clear" w:color="auto" w:fill="auto"/>
            <w:vAlign w:val="bottom"/>
            <w:hideMark/>
          </w:tcPr>
          <w:p w14:paraId="747E5CB7"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0.07</w:t>
            </w:r>
          </w:p>
        </w:tc>
        <w:tc>
          <w:tcPr>
            <w:tcW w:w="1265" w:type="dxa"/>
            <w:tcBorders>
              <w:top w:val="nil"/>
              <w:left w:val="nil"/>
              <w:bottom w:val="nil"/>
              <w:right w:val="nil"/>
            </w:tcBorders>
            <w:shd w:val="clear" w:color="auto" w:fill="auto"/>
            <w:vAlign w:val="bottom"/>
            <w:hideMark/>
          </w:tcPr>
          <w:p w14:paraId="2EB7C30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0.10</w:t>
            </w:r>
          </w:p>
        </w:tc>
        <w:tc>
          <w:tcPr>
            <w:tcW w:w="1265" w:type="dxa"/>
            <w:tcBorders>
              <w:top w:val="nil"/>
              <w:left w:val="nil"/>
              <w:bottom w:val="nil"/>
              <w:right w:val="nil"/>
            </w:tcBorders>
            <w:shd w:val="clear" w:color="auto" w:fill="auto"/>
            <w:vAlign w:val="bottom"/>
            <w:hideMark/>
          </w:tcPr>
          <w:p w14:paraId="5AC1C8C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0.14</w:t>
            </w:r>
          </w:p>
        </w:tc>
        <w:tc>
          <w:tcPr>
            <w:tcW w:w="1265" w:type="dxa"/>
            <w:tcBorders>
              <w:top w:val="nil"/>
              <w:left w:val="nil"/>
              <w:bottom w:val="nil"/>
              <w:right w:val="nil"/>
            </w:tcBorders>
            <w:shd w:val="clear" w:color="auto" w:fill="auto"/>
            <w:vAlign w:val="bottom"/>
            <w:hideMark/>
          </w:tcPr>
          <w:p w14:paraId="5740169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0.16</w:t>
            </w:r>
          </w:p>
        </w:tc>
      </w:tr>
      <w:tr w:rsidR="00140D64" w:rsidRPr="00DA0EE6" w14:paraId="46FCF34A" w14:textId="77777777" w:rsidTr="009C236C">
        <w:tc>
          <w:tcPr>
            <w:tcW w:w="1437" w:type="dxa"/>
            <w:tcBorders>
              <w:top w:val="nil"/>
              <w:left w:val="nil"/>
              <w:bottom w:val="nil"/>
              <w:right w:val="nil"/>
            </w:tcBorders>
            <w:shd w:val="clear" w:color="auto" w:fill="auto"/>
            <w:hideMark/>
          </w:tcPr>
          <w:p w14:paraId="1D001D56"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F</w:t>
            </w:r>
            <w:r w:rsidRPr="00DA0EE6">
              <w:rPr>
                <w:rFonts w:eastAsia="PMingLiU" w:cstheme="minorHAnsi"/>
                <w:i/>
                <w:vertAlign w:val="subscript"/>
                <w:lang w:val="en-AU"/>
              </w:rPr>
              <w:t>recent</w:t>
            </w:r>
            <w:r w:rsidRPr="00DA0EE6">
              <w:rPr>
                <w:rFonts w:eastAsia="PMingLiU" w:cstheme="minorHAnsi"/>
                <w:i/>
                <w:lang w:val="en-AU"/>
              </w:rPr>
              <w:t>/F</w:t>
            </w:r>
            <w:r w:rsidRPr="00DA0EE6">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287239C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0.77</w:t>
            </w:r>
          </w:p>
        </w:tc>
        <w:tc>
          <w:tcPr>
            <w:tcW w:w="1265" w:type="dxa"/>
            <w:tcBorders>
              <w:top w:val="nil"/>
              <w:left w:val="nil"/>
              <w:bottom w:val="nil"/>
              <w:right w:val="nil"/>
            </w:tcBorders>
            <w:shd w:val="clear" w:color="auto" w:fill="auto"/>
            <w:vAlign w:val="bottom"/>
            <w:hideMark/>
          </w:tcPr>
          <w:p w14:paraId="411FFA83"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0.74</w:t>
            </w:r>
          </w:p>
        </w:tc>
        <w:tc>
          <w:tcPr>
            <w:tcW w:w="1265" w:type="dxa"/>
            <w:tcBorders>
              <w:top w:val="nil"/>
              <w:left w:val="nil"/>
              <w:bottom w:val="nil"/>
              <w:right w:val="nil"/>
            </w:tcBorders>
            <w:shd w:val="clear" w:color="auto" w:fill="auto"/>
            <w:vAlign w:val="bottom"/>
            <w:hideMark/>
          </w:tcPr>
          <w:p w14:paraId="02DA3E4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0.54</w:t>
            </w:r>
          </w:p>
        </w:tc>
        <w:tc>
          <w:tcPr>
            <w:tcW w:w="1265" w:type="dxa"/>
            <w:tcBorders>
              <w:top w:val="nil"/>
              <w:left w:val="nil"/>
              <w:bottom w:val="nil"/>
              <w:right w:val="nil"/>
            </w:tcBorders>
            <w:shd w:val="clear" w:color="auto" w:fill="auto"/>
            <w:vAlign w:val="bottom"/>
            <w:hideMark/>
          </w:tcPr>
          <w:p w14:paraId="0994A0C3"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0.62</w:t>
            </w:r>
          </w:p>
        </w:tc>
        <w:tc>
          <w:tcPr>
            <w:tcW w:w="1265" w:type="dxa"/>
            <w:tcBorders>
              <w:top w:val="nil"/>
              <w:left w:val="nil"/>
              <w:bottom w:val="nil"/>
              <w:right w:val="nil"/>
            </w:tcBorders>
            <w:shd w:val="clear" w:color="auto" w:fill="auto"/>
            <w:vAlign w:val="bottom"/>
            <w:hideMark/>
          </w:tcPr>
          <w:p w14:paraId="25E8005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0.97</w:t>
            </w:r>
          </w:p>
        </w:tc>
        <w:tc>
          <w:tcPr>
            <w:tcW w:w="1265" w:type="dxa"/>
            <w:tcBorders>
              <w:top w:val="nil"/>
              <w:left w:val="nil"/>
              <w:bottom w:val="nil"/>
              <w:right w:val="nil"/>
            </w:tcBorders>
            <w:shd w:val="clear" w:color="auto" w:fill="auto"/>
            <w:vAlign w:val="bottom"/>
            <w:hideMark/>
          </w:tcPr>
          <w:p w14:paraId="50617CC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1.13</w:t>
            </w:r>
          </w:p>
        </w:tc>
      </w:tr>
      <w:tr w:rsidR="00140D64" w:rsidRPr="00DA0EE6" w14:paraId="40960CA3" w14:textId="77777777" w:rsidTr="009C236C">
        <w:tc>
          <w:tcPr>
            <w:tcW w:w="1437" w:type="dxa"/>
            <w:tcBorders>
              <w:top w:val="nil"/>
              <w:left w:val="nil"/>
              <w:bottom w:val="nil"/>
              <w:right w:val="nil"/>
            </w:tcBorders>
            <w:shd w:val="clear" w:color="auto" w:fill="auto"/>
            <w:hideMark/>
          </w:tcPr>
          <w:p w14:paraId="710E2BF5"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47B93A2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544,762</w:t>
            </w:r>
          </w:p>
        </w:tc>
        <w:tc>
          <w:tcPr>
            <w:tcW w:w="1265" w:type="dxa"/>
            <w:tcBorders>
              <w:top w:val="nil"/>
              <w:left w:val="nil"/>
              <w:bottom w:val="nil"/>
              <w:right w:val="nil"/>
            </w:tcBorders>
            <w:shd w:val="clear" w:color="auto" w:fill="auto"/>
            <w:vAlign w:val="bottom"/>
            <w:hideMark/>
          </w:tcPr>
          <w:p w14:paraId="27F9F15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581,400</w:t>
            </w:r>
          </w:p>
        </w:tc>
        <w:tc>
          <w:tcPr>
            <w:tcW w:w="1265" w:type="dxa"/>
            <w:tcBorders>
              <w:top w:val="nil"/>
              <w:left w:val="nil"/>
              <w:bottom w:val="nil"/>
              <w:right w:val="nil"/>
            </w:tcBorders>
            <w:shd w:val="clear" w:color="auto" w:fill="auto"/>
            <w:vAlign w:val="bottom"/>
            <w:hideMark/>
          </w:tcPr>
          <w:p w14:paraId="3AAD8A4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186,800</w:t>
            </w:r>
          </w:p>
        </w:tc>
        <w:tc>
          <w:tcPr>
            <w:tcW w:w="1265" w:type="dxa"/>
            <w:tcBorders>
              <w:top w:val="nil"/>
              <w:left w:val="nil"/>
              <w:bottom w:val="nil"/>
              <w:right w:val="nil"/>
            </w:tcBorders>
            <w:shd w:val="clear" w:color="auto" w:fill="auto"/>
            <w:vAlign w:val="bottom"/>
            <w:hideMark/>
          </w:tcPr>
          <w:p w14:paraId="2E9D90B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253,320</w:t>
            </w:r>
          </w:p>
        </w:tc>
        <w:tc>
          <w:tcPr>
            <w:tcW w:w="1265" w:type="dxa"/>
            <w:tcBorders>
              <w:top w:val="nil"/>
              <w:left w:val="nil"/>
              <w:bottom w:val="nil"/>
              <w:right w:val="nil"/>
            </w:tcBorders>
            <w:shd w:val="clear" w:color="auto" w:fill="auto"/>
            <w:vAlign w:val="bottom"/>
            <w:hideMark/>
          </w:tcPr>
          <w:p w14:paraId="6DC4AF2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786,260</w:t>
            </w:r>
          </w:p>
        </w:tc>
        <w:tc>
          <w:tcPr>
            <w:tcW w:w="1265" w:type="dxa"/>
            <w:tcBorders>
              <w:top w:val="nil"/>
              <w:left w:val="nil"/>
              <w:bottom w:val="nil"/>
              <w:right w:val="nil"/>
            </w:tcBorders>
            <w:shd w:val="clear" w:color="auto" w:fill="auto"/>
            <w:vAlign w:val="bottom"/>
            <w:hideMark/>
          </w:tcPr>
          <w:p w14:paraId="2D80C86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946,800</w:t>
            </w:r>
          </w:p>
        </w:tc>
      </w:tr>
      <w:tr w:rsidR="00140D64" w:rsidRPr="00DA0EE6" w14:paraId="0EE4C510" w14:textId="77777777" w:rsidTr="009C236C">
        <w:tc>
          <w:tcPr>
            <w:tcW w:w="1437" w:type="dxa"/>
            <w:tcBorders>
              <w:top w:val="nil"/>
              <w:left w:val="nil"/>
              <w:bottom w:val="nil"/>
              <w:right w:val="nil"/>
            </w:tcBorders>
            <w:shd w:val="clear" w:color="auto" w:fill="auto"/>
            <w:hideMark/>
          </w:tcPr>
          <w:p w14:paraId="576F9989"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PMingLiU" w:cstheme="minorHAnsi"/>
                <w:i/>
                <w:vertAlign w:val="subscript"/>
                <w:lang w:val="en-AU"/>
              </w:rPr>
              <w:t>0</w:t>
            </w:r>
          </w:p>
        </w:tc>
        <w:tc>
          <w:tcPr>
            <w:tcW w:w="1264" w:type="dxa"/>
            <w:tcBorders>
              <w:top w:val="nil"/>
              <w:left w:val="nil"/>
              <w:bottom w:val="nil"/>
              <w:right w:val="nil"/>
            </w:tcBorders>
            <w:shd w:val="clear" w:color="auto" w:fill="auto"/>
            <w:vAlign w:val="bottom"/>
            <w:hideMark/>
          </w:tcPr>
          <w:p w14:paraId="6F62122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2,199,750</w:t>
            </w:r>
          </w:p>
        </w:tc>
        <w:tc>
          <w:tcPr>
            <w:tcW w:w="1265" w:type="dxa"/>
            <w:tcBorders>
              <w:top w:val="nil"/>
              <w:left w:val="nil"/>
              <w:bottom w:val="nil"/>
              <w:right w:val="nil"/>
            </w:tcBorders>
            <w:shd w:val="clear" w:color="auto" w:fill="auto"/>
            <w:vAlign w:val="bottom"/>
            <w:hideMark/>
          </w:tcPr>
          <w:p w14:paraId="206060C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2,290,000</w:t>
            </w:r>
          </w:p>
        </w:tc>
        <w:tc>
          <w:tcPr>
            <w:tcW w:w="1265" w:type="dxa"/>
            <w:tcBorders>
              <w:top w:val="nil"/>
              <w:left w:val="nil"/>
              <w:bottom w:val="nil"/>
              <w:right w:val="nil"/>
            </w:tcBorders>
            <w:shd w:val="clear" w:color="auto" w:fill="auto"/>
            <w:vAlign w:val="bottom"/>
            <w:hideMark/>
          </w:tcPr>
          <w:p w14:paraId="2C6C9146"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1,197,000</w:t>
            </w:r>
          </w:p>
        </w:tc>
        <w:tc>
          <w:tcPr>
            <w:tcW w:w="1265" w:type="dxa"/>
            <w:tcBorders>
              <w:top w:val="nil"/>
              <w:left w:val="nil"/>
              <w:bottom w:val="nil"/>
              <w:right w:val="nil"/>
            </w:tcBorders>
            <w:shd w:val="clear" w:color="auto" w:fill="auto"/>
            <w:vAlign w:val="bottom"/>
            <w:hideMark/>
          </w:tcPr>
          <w:p w14:paraId="5C0DF70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1,366,600</w:t>
            </w:r>
          </w:p>
        </w:tc>
        <w:tc>
          <w:tcPr>
            <w:tcW w:w="1265" w:type="dxa"/>
            <w:tcBorders>
              <w:top w:val="nil"/>
              <w:left w:val="nil"/>
              <w:bottom w:val="nil"/>
              <w:right w:val="nil"/>
            </w:tcBorders>
            <w:shd w:val="clear" w:color="auto" w:fill="auto"/>
            <w:vAlign w:val="bottom"/>
            <w:hideMark/>
          </w:tcPr>
          <w:p w14:paraId="1EC9D3A2"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2,784,500</w:t>
            </w:r>
          </w:p>
        </w:tc>
        <w:tc>
          <w:tcPr>
            <w:tcW w:w="1265" w:type="dxa"/>
            <w:tcBorders>
              <w:top w:val="nil"/>
              <w:left w:val="nil"/>
              <w:bottom w:val="nil"/>
              <w:right w:val="nil"/>
            </w:tcBorders>
            <w:shd w:val="clear" w:color="auto" w:fill="auto"/>
            <w:vAlign w:val="bottom"/>
            <w:hideMark/>
          </w:tcPr>
          <w:p w14:paraId="3FC8A167"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3,256,000</w:t>
            </w:r>
          </w:p>
        </w:tc>
      </w:tr>
      <w:tr w:rsidR="00140D64" w:rsidRPr="00DA0EE6" w14:paraId="00BD0A27" w14:textId="77777777" w:rsidTr="009C236C">
        <w:tc>
          <w:tcPr>
            <w:tcW w:w="1437" w:type="dxa"/>
            <w:tcBorders>
              <w:top w:val="nil"/>
              <w:left w:val="nil"/>
              <w:bottom w:val="nil"/>
              <w:right w:val="nil"/>
            </w:tcBorders>
            <w:shd w:val="clear" w:color="auto" w:fill="auto"/>
            <w:hideMark/>
          </w:tcPr>
          <w:p w14:paraId="7968A5B7"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Malgun Gothic" w:cstheme="minorHAnsi"/>
                <w:vertAlign w:val="subscript"/>
                <w:lang w:val="en-AU"/>
              </w:rPr>
              <w:t>MSY</w:t>
            </w:r>
            <w:r w:rsidRPr="00DA0EE6">
              <w:rPr>
                <w:rFonts w:eastAsia="PMingLiU" w:cstheme="minorHAnsi"/>
                <w:i/>
                <w:lang w:val="en-AU"/>
              </w:rPr>
              <w:t>/SB</w:t>
            </w:r>
            <w:r w:rsidRPr="00DA0EE6">
              <w:rPr>
                <w:rFonts w:eastAsia="PMingLiU" w:cstheme="minorHAnsi"/>
                <w:i/>
                <w:vertAlign w:val="subscript"/>
                <w:lang w:val="en-AU"/>
              </w:rPr>
              <w:t>0</w:t>
            </w:r>
          </w:p>
        </w:tc>
        <w:tc>
          <w:tcPr>
            <w:tcW w:w="1264" w:type="dxa"/>
            <w:tcBorders>
              <w:top w:val="nil"/>
              <w:left w:val="nil"/>
              <w:bottom w:val="nil"/>
              <w:right w:val="nil"/>
            </w:tcBorders>
            <w:shd w:val="clear" w:color="auto" w:fill="auto"/>
            <w:vAlign w:val="bottom"/>
            <w:hideMark/>
          </w:tcPr>
          <w:p w14:paraId="3EAA5272"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0.24</w:t>
            </w:r>
          </w:p>
        </w:tc>
        <w:tc>
          <w:tcPr>
            <w:tcW w:w="1265" w:type="dxa"/>
            <w:tcBorders>
              <w:top w:val="nil"/>
              <w:left w:val="nil"/>
              <w:bottom w:val="nil"/>
              <w:right w:val="nil"/>
            </w:tcBorders>
            <w:shd w:val="clear" w:color="auto" w:fill="auto"/>
            <w:vAlign w:val="bottom"/>
            <w:hideMark/>
          </w:tcPr>
          <w:p w14:paraId="2729A7B9"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0.24</w:t>
            </w:r>
          </w:p>
        </w:tc>
        <w:tc>
          <w:tcPr>
            <w:tcW w:w="1265" w:type="dxa"/>
            <w:tcBorders>
              <w:top w:val="nil"/>
              <w:left w:val="nil"/>
              <w:bottom w:val="nil"/>
              <w:right w:val="nil"/>
            </w:tcBorders>
            <w:shd w:val="clear" w:color="auto" w:fill="auto"/>
            <w:vAlign w:val="bottom"/>
            <w:hideMark/>
          </w:tcPr>
          <w:p w14:paraId="0414228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0.15</w:t>
            </w:r>
          </w:p>
        </w:tc>
        <w:tc>
          <w:tcPr>
            <w:tcW w:w="1265" w:type="dxa"/>
            <w:tcBorders>
              <w:top w:val="nil"/>
              <w:left w:val="nil"/>
              <w:bottom w:val="nil"/>
              <w:right w:val="nil"/>
            </w:tcBorders>
            <w:shd w:val="clear" w:color="auto" w:fill="auto"/>
            <w:vAlign w:val="bottom"/>
            <w:hideMark/>
          </w:tcPr>
          <w:p w14:paraId="137E337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0.18</w:t>
            </w:r>
          </w:p>
        </w:tc>
        <w:tc>
          <w:tcPr>
            <w:tcW w:w="1265" w:type="dxa"/>
            <w:tcBorders>
              <w:top w:val="nil"/>
              <w:left w:val="nil"/>
              <w:bottom w:val="nil"/>
              <w:right w:val="nil"/>
            </w:tcBorders>
            <w:shd w:val="clear" w:color="auto" w:fill="auto"/>
            <w:vAlign w:val="bottom"/>
            <w:hideMark/>
          </w:tcPr>
          <w:p w14:paraId="6B8A526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0.28</w:t>
            </w:r>
          </w:p>
        </w:tc>
        <w:tc>
          <w:tcPr>
            <w:tcW w:w="1265" w:type="dxa"/>
            <w:tcBorders>
              <w:top w:val="nil"/>
              <w:left w:val="nil"/>
              <w:bottom w:val="nil"/>
              <w:right w:val="nil"/>
            </w:tcBorders>
            <w:shd w:val="clear" w:color="auto" w:fill="auto"/>
            <w:vAlign w:val="bottom"/>
            <w:hideMark/>
          </w:tcPr>
          <w:p w14:paraId="3488D76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0.34</w:t>
            </w:r>
          </w:p>
        </w:tc>
      </w:tr>
      <w:tr w:rsidR="00140D64" w:rsidRPr="00DA0EE6" w14:paraId="3B6568E6" w14:textId="77777777" w:rsidTr="009C236C">
        <w:tc>
          <w:tcPr>
            <w:tcW w:w="1437" w:type="dxa"/>
            <w:tcBorders>
              <w:top w:val="nil"/>
              <w:left w:val="nil"/>
              <w:bottom w:val="nil"/>
              <w:right w:val="nil"/>
            </w:tcBorders>
            <w:shd w:val="clear" w:color="auto" w:fill="auto"/>
            <w:hideMark/>
          </w:tcPr>
          <w:p w14:paraId="6F3B2B52"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PMingLiU" w:cstheme="minorHAnsi"/>
                <w:i/>
                <w:vertAlign w:val="subscript"/>
                <w:lang w:val="en-AU"/>
              </w:rPr>
              <w:t>F=0</w:t>
            </w:r>
          </w:p>
        </w:tc>
        <w:tc>
          <w:tcPr>
            <w:tcW w:w="1264" w:type="dxa"/>
            <w:tcBorders>
              <w:top w:val="nil"/>
              <w:left w:val="nil"/>
              <w:bottom w:val="nil"/>
              <w:right w:val="nil"/>
            </w:tcBorders>
            <w:shd w:val="clear" w:color="auto" w:fill="auto"/>
            <w:vAlign w:val="bottom"/>
            <w:hideMark/>
          </w:tcPr>
          <w:p w14:paraId="4BF9C8A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2,083,477</w:t>
            </w:r>
          </w:p>
        </w:tc>
        <w:tc>
          <w:tcPr>
            <w:tcW w:w="1265" w:type="dxa"/>
            <w:tcBorders>
              <w:top w:val="nil"/>
              <w:left w:val="nil"/>
              <w:bottom w:val="nil"/>
              <w:right w:val="nil"/>
            </w:tcBorders>
            <w:shd w:val="clear" w:color="auto" w:fill="auto"/>
            <w:vAlign w:val="bottom"/>
            <w:hideMark/>
          </w:tcPr>
          <w:p w14:paraId="48926D6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2,178,220</w:t>
            </w:r>
          </w:p>
        </w:tc>
        <w:tc>
          <w:tcPr>
            <w:tcW w:w="1265" w:type="dxa"/>
            <w:tcBorders>
              <w:top w:val="nil"/>
              <w:left w:val="nil"/>
              <w:bottom w:val="nil"/>
              <w:right w:val="nil"/>
            </w:tcBorders>
            <w:shd w:val="clear" w:color="auto" w:fill="auto"/>
            <w:vAlign w:val="bottom"/>
            <w:hideMark/>
          </w:tcPr>
          <w:p w14:paraId="347CDD7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1,193,336</w:t>
            </w:r>
          </w:p>
        </w:tc>
        <w:tc>
          <w:tcPr>
            <w:tcW w:w="1265" w:type="dxa"/>
            <w:tcBorders>
              <w:top w:val="nil"/>
              <w:left w:val="nil"/>
              <w:bottom w:val="nil"/>
              <w:right w:val="nil"/>
            </w:tcBorders>
            <w:shd w:val="clear" w:color="auto" w:fill="auto"/>
            <w:vAlign w:val="bottom"/>
            <w:hideMark/>
          </w:tcPr>
          <w:p w14:paraId="3549FE0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1,351,946</w:t>
            </w:r>
          </w:p>
        </w:tc>
        <w:tc>
          <w:tcPr>
            <w:tcW w:w="1265" w:type="dxa"/>
            <w:tcBorders>
              <w:top w:val="nil"/>
              <w:left w:val="nil"/>
              <w:bottom w:val="nil"/>
              <w:right w:val="nil"/>
            </w:tcBorders>
            <w:shd w:val="clear" w:color="auto" w:fill="auto"/>
            <w:vAlign w:val="bottom"/>
            <w:hideMark/>
          </w:tcPr>
          <w:p w14:paraId="72A2D816"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2,643,390</w:t>
            </w:r>
          </w:p>
        </w:tc>
        <w:tc>
          <w:tcPr>
            <w:tcW w:w="1265" w:type="dxa"/>
            <w:tcBorders>
              <w:top w:val="nil"/>
              <w:left w:val="nil"/>
              <w:bottom w:val="nil"/>
              <w:right w:val="nil"/>
            </w:tcBorders>
            <w:shd w:val="clear" w:color="auto" w:fill="auto"/>
            <w:vAlign w:val="bottom"/>
            <w:hideMark/>
          </w:tcPr>
          <w:p w14:paraId="6C48AEC3"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2,845,244</w:t>
            </w:r>
          </w:p>
        </w:tc>
      </w:tr>
      <w:tr w:rsidR="00140D64" w:rsidRPr="00DA0EE6" w14:paraId="4BA7F3D8" w14:textId="77777777" w:rsidTr="009C236C">
        <w:tc>
          <w:tcPr>
            <w:tcW w:w="1437" w:type="dxa"/>
            <w:tcBorders>
              <w:top w:val="nil"/>
              <w:left w:val="nil"/>
              <w:bottom w:val="nil"/>
              <w:right w:val="nil"/>
            </w:tcBorders>
            <w:shd w:val="clear" w:color="auto" w:fill="auto"/>
            <w:hideMark/>
          </w:tcPr>
          <w:p w14:paraId="3C761559"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Malgun Gothic" w:cstheme="minorHAnsi"/>
                <w:vertAlign w:val="subscript"/>
                <w:lang w:val="en-AU"/>
              </w:rPr>
              <w:t>MSY</w:t>
            </w:r>
            <w:r w:rsidRPr="00DA0EE6">
              <w:rPr>
                <w:rFonts w:eastAsia="PMingLiU" w:cstheme="minorHAnsi"/>
                <w:i/>
                <w:lang w:val="en-AU"/>
              </w:rPr>
              <w:t>/SB</w:t>
            </w:r>
            <w:r w:rsidRPr="00DA0EE6">
              <w:rPr>
                <w:rFonts w:eastAsia="PMingLiU" w:cstheme="minorHAnsi"/>
                <w:i/>
                <w:vertAlign w:val="subscript"/>
                <w:lang w:val="en-AU"/>
              </w:rPr>
              <w:t>F=0</w:t>
            </w:r>
          </w:p>
        </w:tc>
        <w:tc>
          <w:tcPr>
            <w:tcW w:w="1264" w:type="dxa"/>
            <w:tcBorders>
              <w:top w:val="nil"/>
              <w:left w:val="nil"/>
              <w:bottom w:val="nil"/>
              <w:right w:val="nil"/>
            </w:tcBorders>
            <w:shd w:val="clear" w:color="auto" w:fill="auto"/>
            <w:vAlign w:val="bottom"/>
            <w:hideMark/>
          </w:tcPr>
          <w:p w14:paraId="191DD059"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0.25</w:t>
            </w:r>
          </w:p>
        </w:tc>
        <w:tc>
          <w:tcPr>
            <w:tcW w:w="1265" w:type="dxa"/>
            <w:tcBorders>
              <w:top w:val="nil"/>
              <w:left w:val="nil"/>
              <w:bottom w:val="nil"/>
              <w:right w:val="nil"/>
            </w:tcBorders>
            <w:shd w:val="clear" w:color="auto" w:fill="auto"/>
            <w:vAlign w:val="bottom"/>
            <w:hideMark/>
          </w:tcPr>
          <w:p w14:paraId="27CEB81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0.26</w:t>
            </w:r>
          </w:p>
        </w:tc>
        <w:tc>
          <w:tcPr>
            <w:tcW w:w="1265" w:type="dxa"/>
            <w:tcBorders>
              <w:top w:val="nil"/>
              <w:left w:val="nil"/>
              <w:bottom w:val="nil"/>
              <w:right w:val="nil"/>
            </w:tcBorders>
            <w:shd w:val="clear" w:color="auto" w:fill="auto"/>
            <w:vAlign w:val="bottom"/>
            <w:hideMark/>
          </w:tcPr>
          <w:p w14:paraId="4078B7A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0.16</w:t>
            </w:r>
          </w:p>
        </w:tc>
        <w:tc>
          <w:tcPr>
            <w:tcW w:w="1265" w:type="dxa"/>
            <w:tcBorders>
              <w:top w:val="nil"/>
              <w:left w:val="nil"/>
              <w:bottom w:val="nil"/>
              <w:right w:val="nil"/>
            </w:tcBorders>
            <w:shd w:val="clear" w:color="auto" w:fill="auto"/>
            <w:vAlign w:val="bottom"/>
            <w:hideMark/>
          </w:tcPr>
          <w:p w14:paraId="72293F3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0.19</w:t>
            </w:r>
          </w:p>
        </w:tc>
        <w:tc>
          <w:tcPr>
            <w:tcW w:w="1265" w:type="dxa"/>
            <w:tcBorders>
              <w:top w:val="nil"/>
              <w:left w:val="nil"/>
              <w:bottom w:val="nil"/>
              <w:right w:val="nil"/>
            </w:tcBorders>
            <w:shd w:val="clear" w:color="auto" w:fill="auto"/>
            <w:vAlign w:val="bottom"/>
            <w:hideMark/>
          </w:tcPr>
          <w:p w14:paraId="336B869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0.30</w:t>
            </w:r>
          </w:p>
        </w:tc>
        <w:tc>
          <w:tcPr>
            <w:tcW w:w="1265" w:type="dxa"/>
            <w:tcBorders>
              <w:top w:val="nil"/>
              <w:left w:val="nil"/>
              <w:bottom w:val="nil"/>
              <w:right w:val="nil"/>
            </w:tcBorders>
            <w:shd w:val="clear" w:color="auto" w:fill="auto"/>
            <w:vAlign w:val="bottom"/>
            <w:hideMark/>
          </w:tcPr>
          <w:p w14:paraId="3F160AC5"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0.35</w:t>
            </w:r>
          </w:p>
        </w:tc>
      </w:tr>
      <w:tr w:rsidR="00140D64" w:rsidRPr="00DA0EE6" w14:paraId="0DA63730" w14:textId="77777777" w:rsidTr="009C236C">
        <w:tc>
          <w:tcPr>
            <w:tcW w:w="1437" w:type="dxa"/>
            <w:tcBorders>
              <w:top w:val="nil"/>
              <w:left w:val="nil"/>
              <w:bottom w:val="nil"/>
              <w:right w:val="nil"/>
            </w:tcBorders>
            <w:shd w:val="clear" w:color="auto" w:fill="auto"/>
            <w:hideMark/>
          </w:tcPr>
          <w:p w14:paraId="05427BDD"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MS Mincho" w:cstheme="minorHAnsi"/>
                <w:i/>
                <w:lang w:val="en-NZ"/>
              </w:rPr>
              <w:t>SB</w:t>
            </w:r>
            <w:r w:rsidRPr="00DA0EE6">
              <w:rPr>
                <w:rFonts w:eastAsia="MS Mincho" w:cstheme="minorHAnsi"/>
                <w:i/>
                <w:vertAlign w:val="subscript"/>
                <w:lang w:val="en-NZ"/>
              </w:rPr>
              <w:t>latest</w:t>
            </w:r>
            <w:r w:rsidRPr="00DA0EE6" w:rsidDel="00300F08">
              <w:rPr>
                <w:rFonts w:eastAsia="PMingLiU" w:cstheme="minorHAnsi"/>
                <w:i/>
                <w:lang w:val="en-AU"/>
              </w:rPr>
              <w:t xml:space="preserve"> </w:t>
            </w:r>
            <w:r w:rsidRPr="00DA0EE6">
              <w:rPr>
                <w:rFonts w:eastAsia="PMingLiU" w:cstheme="minorHAnsi"/>
                <w:i/>
                <w:lang w:val="en-AU"/>
              </w:rPr>
              <w:t>/SB</w:t>
            </w:r>
            <w:r w:rsidRPr="00DA0EE6">
              <w:rPr>
                <w:rFonts w:eastAsia="PMingLiU" w:cstheme="minorHAnsi"/>
                <w:i/>
                <w:vertAlign w:val="subscript"/>
                <w:lang w:val="en-AU"/>
              </w:rPr>
              <w:t>0</w:t>
            </w:r>
          </w:p>
        </w:tc>
        <w:tc>
          <w:tcPr>
            <w:tcW w:w="1264" w:type="dxa"/>
            <w:tcBorders>
              <w:top w:val="nil"/>
              <w:left w:val="nil"/>
              <w:bottom w:val="nil"/>
              <w:right w:val="nil"/>
            </w:tcBorders>
            <w:shd w:val="clear" w:color="auto" w:fill="auto"/>
            <w:vAlign w:val="bottom"/>
            <w:hideMark/>
          </w:tcPr>
          <w:p w14:paraId="62969151"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0.33</w:t>
            </w:r>
          </w:p>
        </w:tc>
        <w:tc>
          <w:tcPr>
            <w:tcW w:w="1265" w:type="dxa"/>
            <w:tcBorders>
              <w:top w:val="nil"/>
              <w:left w:val="nil"/>
              <w:bottom w:val="nil"/>
              <w:right w:val="nil"/>
            </w:tcBorders>
            <w:shd w:val="clear" w:color="auto" w:fill="auto"/>
            <w:vAlign w:val="bottom"/>
            <w:hideMark/>
          </w:tcPr>
          <w:p w14:paraId="4551CDEE"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0.34</w:t>
            </w:r>
          </w:p>
        </w:tc>
        <w:tc>
          <w:tcPr>
            <w:tcW w:w="1265" w:type="dxa"/>
            <w:tcBorders>
              <w:top w:val="nil"/>
              <w:left w:val="nil"/>
              <w:bottom w:val="nil"/>
              <w:right w:val="nil"/>
            </w:tcBorders>
            <w:shd w:val="clear" w:color="auto" w:fill="auto"/>
            <w:vAlign w:val="bottom"/>
            <w:hideMark/>
          </w:tcPr>
          <w:p w14:paraId="6E5606D0"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0.18</w:t>
            </w:r>
          </w:p>
        </w:tc>
        <w:tc>
          <w:tcPr>
            <w:tcW w:w="1265" w:type="dxa"/>
            <w:tcBorders>
              <w:top w:val="nil"/>
              <w:left w:val="nil"/>
              <w:bottom w:val="nil"/>
              <w:right w:val="nil"/>
            </w:tcBorders>
            <w:shd w:val="clear" w:color="auto" w:fill="auto"/>
            <w:vAlign w:val="bottom"/>
            <w:hideMark/>
          </w:tcPr>
          <w:p w14:paraId="7550543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0.23</w:t>
            </w:r>
          </w:p>
        </w:tc>
        <w:tc>
          <w:tcPr>
            <w:tcW w:w="1265" w:type="dxa"/>
            <w:tcBorders>
              <w:top w:val="nil"/>
              <w:left w:val="nil"/>
              <w:bottom w:val="nil"/>
              <w:right w:val="nil"/>
            </w:tcBorders>
            <w:shd w:val="clear" w:color="auto" w:fill="auto"/>
            <w:vAlign w:val="bottom"/>
            <w:hideMark/>
          </w:tcPr>
          <w:p w14:paraId="25BBCF86"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0.42</w:t>
            </w:r>
          </w:p>
        </w:tc>
        <w:tc>
          <w:tcPr>
            <w:tcW w:w="1265" w:type="dxa"/>
            <w:tcBorders>
              <w:top w:val="nil"/>
              <w:left w:val="nil"/>
              <w:bottom w:val="nil"/>
              <w:right w:val="nil"/>
            </w:tcBorders>
            <w:shd w:val="clear" w:color="auto" w:fill="auto"/>
            <w:vAlign w:val="bottom"/>
            <w:hideMark/>
          </w:tcPr>
          <w:p w14:paraId="3114FFC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0.45</w:t>
            </w:r>
          </w:p>
        </w:tc>
      </w:tr>
      <w:tr w:rsidR="00140D64" w:rsidRPr="00DA0EE6" w14:paraId="5A703CAE" w14:textId="77777777" w:rsidTr="009C236C">
        <w:tc>
          <w:tcPr>
            <w:tcW w:w="1437" w:type="dxa"/>
            <w:tcBorders>
              <w:top w:val="nil"/>
              <w:left w:val="nil"/>
              <w:bottom w:val="nil"/>
              <w:right w:val="nil"/>
            </w:tcBorders>
            <w:shd w:val="clear" w:color="auto" w:fill="auto"/>
            <w:hideMark/>
          </w:tcPr>
          <w:p w14:paraId="3C9FEC80"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MS Mincho" w:cstheme="minorHAnsi"/>
                <w:i/>
                <w:lang w:val="en-NZ"/>
              </w:rPr>
              <w:t>SB</w:t>
            </w:r>
            <w:r w:rsidRPr="00DA0EE6">
              <w:rPr>
                <w:rFonts w:eastAsia="MS Mincho" w:cstheme="minorHAnsi"/>
                <w:i/>
                <w:vertAlign w:val="subscript"/>
                <w:lang w:val="en-NZ"/>
              </w:rPr>
              <w:t>latest</w:t>
            </w:r>
            <w:r w:rsidRPr="00DA0EE6" w:rsidDel="00300F08">
              <w:rPr>
                <w:rFonts w:eastAsia="PMingLiU" w:cstheme="minorHAnsi"/>
                <w:i/>
                <w:lang w:val="en-AU"/>
              </w:rPr>
              <w:t xml:space="preserve"> </w:t>
            </w:r>
            <w:r w:rsidRPr="00DA0EE6">
              <w:rPr>
                <w:rFonts w:eastAsia="PMingLiU" w:cstheme="minorHAnsi"/>
                <w:i/>
                <w:lang w:val="en-AU"/>
              </w:rPr>
              <w:t>/SB</w:t>
            </w:r>
            <w:r w:rsidRPr="00DA0EE6">
              <w:rPr>
                <w:rFonts w:eastAsia="PMingLiU" w:cstheme="minorHAnsi"/>
                <w:i/>
                <w:vertAlign w:val="subscript"/>
                <w:lang w:val="en-AU"/>
              </w:rPr>
              <w:t>F=0</w:t>
            </w:r>
          </w:p>
        </w:tc>
        <w:tc>
          <w:tcPr>
            <w:tcW w:w="1264" w:type="dxa"/>
            <w:tcBorders>
              <w:top w:val="nil"/>
              <w:left w:val="nil"/>
              <w:bottom w:val="nil"/>
              <w:right w:val="nil"/>
            </w:tcBorders>
            <w:shd w:val="clear" w:color="auto" w:fill="auto"/>
            <w:vAlign w:val="bottom"/>
            <w:hideMark/>
          </w:tcPr>
          <w:p w14:paraId="5E40CFF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0.35</w:t>
            </w:r>
          </w:p>
        </w:tc>
        <w:tc>
          <w:tcPr>
            <w:tcW w:w="1265" w:type="dxa"/>
            <w:tcBorders>
              <w:top w:val="nil"/>
              <w:left w:val="nil"/>
              <w:bottom w:val="nil"/>
              <w:right w:val="nil"/>
            </w:tcBorders>
            <w:shd w:val="clear" w:color="auto" w:fill="auto"/>
            <w:vAlign w:val="bottom"/>
            <w:hideMark/>
          </w:tcPr>
          <w:p w14:paraId="77769B3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0.37</w:t>
            </w:r>
          </w:p>
        </w:tc>
        <w:tc>
          <w:tcPr>
            <w:tcW w:w="1265" w:type="dxa"/>
            <w:tcBorders>
              <w:top w:val="nil"/>
              <w:left w:val="nil"/>
              <w:bottom w:val="nil"/>
              <w:right w:val="nil"/>
            </w:tcBorders>
            <w:shd w:val="clear" w:color="auto" w:fill="auto"/>
            <w:vAlign w:val="bottom"/>
            <w:hideMark/>
          </w:tcPr>
          <w:p w14:paraId="1C2E0D3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0.16</w:t>
            </w:r>
          </w:p>
        </w:tc>
        <w:tc>
          <w:tcPr>
            <w:tcW w:w="1265" w:type="dxa"/>
            <w:tcBorders>
              <w:top w:val="nil"/>
              <w:left w:val="nil"/>
              <w:bottom w:val="nil"/>
              <w:right w:val="nil"/>
            </w:tcBorders>
            <w:shd w:val="clear" w:color="auto" w:fill="auto"/>
            <w:vAlign w:val="bottom"/>
            <w:hideMark/>
          </w:tcPr>
          <w:p w14:paraId="2DBE98B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0.22</w:t>
            </w:r>
          </w:p>
        </w:tc>
        <w:tc>
          <w:tcPr>
            <w:tcW w:w="1265" w:type="dxa"/>
            <w:tcBorders>
              <w:top w:val="nil"/>
              <w:left w:val="nil"/>
              <w:bottom w:val="nil"/>
              <w:right w:val="nil"/>
            </w:tcBorders>
            <w:shd w:val="clear" w:color="auto" w:fill="auto"/>
            <w:vAlign w:val="bottom"/>
            <w:hideMark/>
          </w:tcPr>
          <w:p w14:paraId="03F600E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0.46</w:t>
            </w:r>
          </w:p>
        </w:tc>
        <w:tc>
          <w:tcPr>
            <w:tcW w:w="1265" w:type="dxa"/>
            <w:tcBorders>
              <w:top w:val="nil"/>
              <w:left w:val="nil"/>
              <w:bottom w:val="nil"/>
              <w:right w:val="nil"/>
            </w:tcBorders>
            <w:shd w:val="clear" w:color="auto" w:fill="auto"/>
            <w:vAlign w:val="bottom"/>
            <w:hideMark/>
          </w:tcPr>
          <w:p w14:paraId="0F8E200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0.50</w:t>
            </w:r>
          </w:p>
        </w:tc>
      </w:tr>
      <w:tr w:rsidR="00140D64" w:rsidRPr="00DA0EE6" w14:paraId="0AAED959" w14:textId="77777777" w:rsidTr="009C236C">
        <w:tc>
          <w:tcPr>
            <w:tcW w:w="1437" w:type="dxa"/>
            <w:tcBorders>
              <w:top w:val="nil"/>
              <w:left w:val="nil"/>
              <w:bottom w:val="nil"/>
              <w:right w:val="nil"/>
            </w:tcBorders>
            <w:shd w:val="clear" w:color="auto" w:fill="auto"/>
            <w:hideMark/>
          </w:tcPr>
          <w:p w14:paraId="1ED4D4A0"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MS Mincho" w:cstheme="minorHAnsi"/>
                <w:i/>
                <w:lang w:val="en-NZ"/>
              </w:rPr>
              <w:t>SB</w:t>
            </w:r>
            <w:r w:rsidRPr="00DA0EE6">
              <w:rPr>
                <w:rFonts w:eastAsia="MS Mincho" w:cstheme="minorHAnsi"/>
                <w:i/>
                <w:vertAlign w:val="subscript"/>
                <w:lang w:val="en-NZ"/>
              </w:rPr>
              <w:t>latest</w:t>
            </w:r>
            <w:r w:rsidRPr="00DA0EE6" w:rsidDel="00300F08">
              <w:rPr>
                <w:rFonts w:eastAsia="PMingLiU" w:cstheme="minorHAnsi"/>
                <w:i/>
                <w:lang w:val="en-AU"/>
              </w:rPr>
              <w:t xml:space="preserve"> </w:t>
            </w:r>
            <w:r w:rsidRPr="00DA0EE6">
              <w:rPr>
                <w:rFonts w:eastAsia="PMingLiU" w:cstheme="minorHAnsi"/>
                <w:i/>
                <w:lang w:val="en-AU"/>
              </w:rPr>
              <w:t>/SB</w:t>
            </w:r>
            <w:r w:rsidRPr="00DA0EE6">
              <w:rPr>
                <w:rFonts w:eastAsia="Malgun Gothic" w:cstheme="minorHAnsi"/>
                <w:vertAlign w:val="subscript"/>
                <w:lang w:val="en-AU"/>
              </w:rPr>
              <w:t>MSY</w:t>
            </w:r>
          </w:p>
        </w:tc>
        <w:tc>
          <w:tcPr>
            <w:tcW w:w="1264" w:type="dxa"/>
            <w:tcBorders>
              <w:top w:val="nil"/>
              <w:left w:val="nil"/>
              <w:bottom w:val="nil"/>
              <w:right w:val="nil"/>
            </w:tcBorders>
            <w:shd w:val="clear" w:color="auto" w:fill="auto"/>
            <w:vAlign w:val="bottom"/>
            <w:hideMark/>
          </w:tcPr>
          <w:p w14:paraId="65EDC9C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1.40</w:t>
            </w:r>
          </w:p>
        </w:tc>
        <w:tc>
          <w:tcPr>
            <w:tcW w:w="1265" w:type="dxa"/>
            <w:tcBorders>
              <w:top w:val="nil"/>
              <w:left w:val="nil"/>
              <w:bottom w:val="nil"/>
              <w:right w:val="nil"/>
            </w:tcBorders>
            <w:shd w:val="clear" w:color="auto" w:fill="auto"/>
            <w:vAlign w:val="bottom"/>
            <w:hideMark/>
          </w:tcPr>
          <w:p w14:paraId="6E63A8D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1.39</w:t>
            </w:r>
          </w:p>
        </w:tc>
        <w:tc>
          <w:tcPr>
            <w:tcW w:w="1265" w:type="dxa"/>
            <w:tcBorders>
              <w:top w:val="nil"/>
              <w:left w:val="nil"/>
              <w:bottom w:val="nil"/>
              <w:right w:val="nil"/>
            </w:tcBorders>
            <w:shd w:val="clear" w:color="auto" w:fill="auto"/>
            <w:vAlign w:val="bottom"/>
            <w:hideMark/>
          </w:tcPr>
          <w:p w14:paraId="00514B7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0.80</w:t>
            </w:r>
          </w:p>
        </w:tc>
        <w:tc>
          <w:tcPr>
            <w:tcW w:w="1265" w:type="dxa"/>
            <w:tcBorders>
              <w:top w:val="nil"/>
              <w:left w:val="nil"/>
              <w:bottom w:val="nil"/>
              <w:right w:val="nil"/>
            </w:tcBorders>
            <w:shd w:val="clear" w:color="auto" w:fill="auto"/>
            <w:vAlign w:val="bottom"/>
            <w:hideMark/>
          </w:tcPr>
          <w:p w14:paraId="49C9351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1.02</w:t>
            </w:r>
          </w:p>
        </w:tc>
        <w:tc>
          <w:tcPr>
            <w:tcW w:w="1265" w:type="dxa"/>
            <w:tcBorders>
              <w:top w:val="nil"/>
              <w:left w:val="nil"/>
              <w:bottom w:val="nil"/>
              <w:right w:val="nil"/>
            </w:tcBorders>
            <w:shd w:val="clear" w:color="auto" w:fill="auto"/>
            <w:vAlign w:val="bottom"/>
            <w:hideMark/>
          </w:tcPr>
          <w:p w14:paraId="4706FF9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1.80</w:t>
            </w:r>
          </w:p>
        </w:tc>
        <w:tc>
          <w:tcPr>
            <w:tcW w:w="1265" w:type="dxa"/>
            <w:tcBorders>
              <w:top w:val="nil"/>
              <w:left w:val="nil"/>
              <w:bottom w:val="nil"/>
              <w:right w:val="nil"/>
            </w:tcBorders>
            <w:shd w:val="clear" w:color="auto" w:fill="auto"/>
            <w:vAlign w:val="bottom"/>
            <w:hideMark/>
          </w:tcPr>
          <w:p w14:paraId="7288F1BD"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1.91</w:t>
            </w:r>
          </w:p>
        </w:tc>
      </w:tr>
      <w:tr w:rsidR="00140D64" w:rsidRPr="00DA0EE6" w14:paraId="12F773D1" w14:textId="77777777" w:rsidTr="009C236C">
        <w:tc>
          <w:tcPr>
            <w:tcW w:w="1437" w:type="dxa"/>
            <w:tcBorders>
              <w:top w:val="nil"/>
              <w:left w:val="nil"/>
              <w:bottom w:val="nil"/>
              <w:right w:val="nil"/>
            </w:tcBorders>
            <w:shd w:val="clear" w:color="auto" w:fill="auto"/>
            <w:hideMark/>
          </w:tcPr>
          <w:p w14:paraId="70D4DE35"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PMingLiU" w:cstheme="minorHAnsi"/>
                <w:i/>
                <w:vertAlign w:val="subscript"/>
                <w:lang w:val="en-AU"/>
              </w:rPr>
              <w:t>recent</w:t>
            </w:r>
            <w:r w:rsidRPr="00DA0EE6">
              <w:rPr>
                <w:rFonts w:eastAsia="PMingLiU" w:cstheme="minorHAnsi"/>
                <w:i/>
                <w:lang w:val="en-AU"/>
              </w:rPr>
              <w:t>/SB</w:t>
            </w:r>
            <w:r w:rsidRPr="00DA0EE6">
              <w:rPr>
                <w:rFonts w:eastAsia="PMingLiU" w:cstheme="minorHAnsi"/>
                <w:i/>
                <w:vertAlign w:val="subscript"/>
                <w:lang w:val="en-AU"/>
              </w:rPr>
              <w:t>F=0</w:t>
            </w:r>
          </w:p>
        </w:tc>
        <w:tc>
          <w:tcPr>
            <w:tcW w:w="1264" w:type="dxa"/>
            <w:tcBorders>
              <w:top w:val="nil"/>
              <w:left w:val="nil"/>
              <w:bottom w:val="nil"/>
              <w:right w:val="nil"/>
            </w:tcBorders>
            <w:shd w:val="clear" w:color="auto" w:fill="auto"/>
            <w:vAlign w:val="bottom"/>
            <w:hideMark/>
          </w:tcPr>
          <w:p w14:paraId="315D7DE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0.32</w:t>
            </w:r>
          </w:p>
        </w:tc>
        <w:tc>
          <w:tcPr>
            <w:tcW w:w="1265" w:type="dxa"/>
            <w:tcBorders>
              <w:top w:val="nil"/>
              <w:left w:val="nil"/>
              <w:bottom w:val="nil"/>
              <w:right w:val="nil"/>
            </w:tcBorders>
            <w:shd w:val="clear" w:color="auto" w:fill="auto"/>
            <w:vAlign w:val="bottom"/>
            <w:hideMark/>
          </w:tcPr>
          <w:p w14:paraId="6AB4016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0.33</w:t>
            </w:r>
          </w:p>
        </w:tc>
        <w:tc>
          <w:tcPr>
            <w:tcW w:w="1265" w:type="dxa"/>
            <w:tcBorders>
              <w:top w:val="nil"/>
              <w:left w:val="nil"/>
              <w:bottom w:val="nil"/>
              <w:right w:val="nil"/>
            </w:tcBorders>
            <w:shd w:val="clear" w:color="auto" w:fill="auto"/>
            <w:vAlign w:val="bottom"/>
            <w:hideMark/>
          </w:tcPr>
          <w:p w14:paraId="16A78BC4"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0.15</w:t>
            </w:r>
          </w:p>
        </w:tc>
        <w:tc>
          <w:tcPr>
            <w:tcW w:w="1265" w:type="dxa"/>
            <w:tcBorders>
              <w:top w:val="nil"/>
              <w:left w:val="nil"/>
              <w:bottom w:val="nil"/>
              <w:right w:val="nil"/>
            </w:tcBorders>
            <w:shd w:val="clear" w:color="auto" w:fill="auto"/>
            <w:vAlign w:val="bottom"/>
            <w:hideMark/>
          </w:tcPr>
          <w:p w14:paraId="34A99786"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0.20</w:t>
            </w:r>
          </w:p>
        </w:tc>
        <w:tc>
          <w:tcPr>
            <w:tcW w:w="1265" w:type="dxa"/>
            <w:tcBorders>
              <w:top w:val="nil"/>
              <w:left w:val="nil"/>
              <w:bottom w:val="nil"/>
              <w:right w:val="nil"/>
            </w:tcBorders>
            <w:shd w:val="clear" w:color="auto" w:fill="auto"/>
            <w:vAlign w:val="bottom"/>
            <w:hideMark/>
          </w:tcPr>
          <w:p w14:paraId="6926C7CB"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0.41</w:t>
            </w:r>
          </w:p>
        </w:tc>
        <w:tc>
          <w:tcPr>
            <w:tcW w:w="1265" w:type="dxa"/>
            <w:tcBorders>
              <w:top w:val="nil"/>
              <w:left w:val="nil"/>
              <w:bottom w:val="nil"/>
              <w:right w:val="nil"/>
            </w:tcBorders>
            <w:shd w:val="clear" w:color="auto" w:fill="auto"/>
            <w:vAlign w:val="bottom"/>
            <w:hideMark/>
          </w:tcPr>
          <w:p w14:paraId="0FCBA7F7"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0.46</w:t>
            </w:r>
          </w:p>
        </w:tc>
      </w:tr>
      <w:tr w:rsidR="00140D64" w:rsidRPr="00DA0EE6" w14:paraId="09C8D2A8" w14:textId="77777777" w:rsidTr="009C236C">
        <w:tc>
          <w:tcPr>
            <w:tcW w:w="1437" w:type="dxa"/>
            <w:tcBorders>
              <w:top w:val="nil"/>
              <w:left w:val="nil"/>
              <w:bottom w:val="single" w:sz="4" w:space="0" w:color="auto"/>
              <w:right w:val="nil"/>
            </w:tcBorders>
            <w:shd w:val="clear" w:color="auto" w:fill="auto"/>
            <w:hideMark/>
          </w:tcPr>
          <w:p w14:paraId="3A22DE89" w14:textId="77777777" w:rsidR="00140D64" w:rsidRPr="00DA0EE6" w:rsidRDefault="00140D64" w:rsidP="00167819">
            <w:pPr>
              <w:adjustRightInd w:val="0"/>
              <w:snapToGrid w:val="0"/>
              <w:spacing w:after="0" w:line="240" w:lineRule="auto"/>
              <w:jc w:val="both"/>
              <w:rPr>
                <w:rFonts w:eastAsia="PMingLiU" w:cstheme="minorHAnsi"/>
                <w:i/>
                <w:lang w:val="en-AU"/>
              </w:rPr>
            </w:pPr>
            <w:r w:rsidRPr="00DA0EE6">
              <w:rPr>
                <w:rFonts w:eastAsia="PMingLiU" w:cstheme="minorHAnsi"/>
                <w:i/>
                <w:lang w:val="en-AU"/>
              </w:rPr>
              <w:t>SB</w:t>
            </w:r>
            <w:r w:rsidRPr="00DA0EE6">
              <w:rPr>
                <w:rFonts w:eastAsia="PMingLiU" w:cstheme="minorHAnsi"/>
                <w:i/>
                <w:vertAlign w:val="subscript"/>
                <w:lang w:val="en-AU"/>
              </w:rPr>
              <w:t>recent</w:t>
            </w:r>
            <w:r w:rsidRPr="00DA0EE6">
              <w:rPr>
                <w:rFonts w:eastAsia="PMingLiU" w:cstheme="minorHAnsi"/>
                <w:i/>
                <w:lang w:val="en-AU"/>
              </w:rPr>
              <w:t>/SB</w:t>
            </w:r>
            <w:r w:rsidRPr="00DA0EE6">
              <w:rPr>
                <w:rFonts w:eastAsia="Malgun Gothic" w:cstheme="minorHAnsi"/>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66BFFDCA"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1.40</w:t>
            </w:r>
          </w:p>
        </w:tc>
        <w:tc>
          <w:tcPr>
            <w:tcW w:w="1265" w:type="dxa"/>
            <w:tcBorders>
              <w:top w:val="nil"/>
              <w:left w:val="nil"/>
              <w:bottom w:val="single" w:sz="4" w:space="0" w:color="auto"/>
              <w:right w:val="nil"/>
            </w:tcBorders>
            <w:shd w:val="clear" w:color="auto" w:fill="auto"/>
            <w:vAlign w:val="bottom"/>
            <w:hideMark/>
          </w:tcPr>
          <w:p w14:paraId="6E782E48"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1.41</w:t>
            </w:r>
          </w:p>
        </w:tc>
        <w:tc>
          <w:tcPr>
            <w:tcW w:w="1265" w:type="dxa"/>
            <w:tcBorders>
              <w:top w:val="nil"/>
              <w:left w:val="nil"/>
              <w:bottom w:val="single" w:sz="4" w:space="0" w:color="auto"/>
              <w:right w:val="nil"/>
            </w:tcBorders>
            <w:shd w:val="clear" w:color="auto" w:fill="auto"/>
            <w:vAlign w:val="bottom"/>
            <w:hideMark/>
          </w:tcPr>
          <w:p w14:paraId="139482AF"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0.81</w:t>
            </w:r>
          </w:p>
        </w:tc>
        <w:tc>
          <w:tcPr>
            <w:tcW w:w="1265" w:type="dxa"/>
            <w:tcBorders>
              <w:top w:val="nil"/>
              <w:left w:val="nil"/>
              <w:bottom w:val="single" w:sz="4" w:space="0" w:color="auto"/>
              <w:right w:val="nil"/>
            </w:tcBorders>
            <w:shd w:val="clear" w:color="auto" w:fill="auto"/>
            <w:vAlign w:val="bottom"/>
            <w:hideMark/>
          </w:tcPr>
          <w:p w14:paraId="4366373C"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1.05</w:t>
            </w:r>
          </w:p>
        </w:tc>
        <w:tc>
          <w:tcPr>
            <w:tcW w:w="1265" w:type="dxa"/>
            <w:tcBorders>
              <w:top w:val="nil"/>
              <w:left w:val="nil"/>
              <w:bottom w:val="single" w:sz="4" w:space="0" w:color="auto"/>
              <w:right w:val="nil"/>
            </w:tcBorders>
            <w:shd w:val="clear" w:color="auto" w:fill="auto"/>
            <w:vAlign w:val="bottom"/>
            <w:hideMark/>
          </w:tcPr>
          <w:p w14:paraId="4361D376"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1.71</w:t>
            </w:r>
          </w:p>
        </w:tc>
        <w:tc>
          <w:tcPr>
            <w:tcW w:w="1265" w:type="dxa"/>
            <w:tcBorders>
              <w:top w:val="nil"/>
              <w:left w:val="nil"/>
              <w:bottom w:val="single" w:sz="4" w:space="0" w:color="auto"/>
              <w:right w:val="nil"/>
            </w:tcBorders>
            <w:shd w:val="clear" w:color="auto" w:fill="auto"/>
            <w:vAlign w:val="bottom"/>
            <w:hideMark/>
          </w:tcPr>
          <w:p w14:paraId="1AFA2777" w14:textId="77777777" w:rsidR="00140D64" w:rsidRPr="00DA0EE6" w:rsidRDefault="00140D64" w:rsidP="00167819">
            <w:pPr>
              <w:adjustRightInd w:val="0"/>
              <w:snapToGrid w:val="0"/>
              <w:spacing w:after="0" w:line="240" w:lineRule="auto"/>
              <w:jc w:val="center"/>
              <w:rPr>
                <w:rFonts w:eastAsia="PMingLiU" w:cstheme="minorHAnsi"/>
                <w:lang w:val="en-AU"/>
              </w:rPr>
            </w:pPr>
            <w:r w:rsidRPr="00DA0EE6">
              <w:rPr>
                <w:rFonts w:eastAsia="PMingLiU" w:cstheme="minorHAnsi"/>
                <w:lang w:val="en-AU"/>
              </w:rPr>
              <w:t>1.93</w:t>
            </w:r>
          </w:p>
        </w:tc>
      </w:tr>
    </w:tbl>
    <w:p w14:paraId="78462303" w14:textId="77777777" w:rsidR="00140D64" w:rsidRPr="00DA0EE6" w:rsidRDefault="00140D64" w:rsidP="00167819">
      <w:pPr>
        <w:adjustRightInd w:val="0"/>
        <w:snapToGrid w:val="0"/>
        <w:spacing w:after="0" w:line="240" w:lineRule="auto"/>
        <w:ind w:left="567"/>
        <w:jc w:val="both"/>
        <w:rPr>
          <w:rFonts w:eastAsia="Malgun Gothic" w:cstheme="minorHAnsi"/>
          <w:b/>
          <w:lang w:val="en-NZ" w:eastAsia="en-NZ"/>
        </w:rPr>
      </w:pPr>
    </w:p>
    <w:p w14:paraId="35BA1BD5"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noted that the central tendency of relative recent spawning biomass was median (SB</w:t>
      </w:r>
      <w:r w:rsidRPr="00DA0EE6">
        <w:rPr>
          <w:rFonts w:eastAsia="Malgun Gothic" w:cstheme="minorHAnsi"/>
          <w:bCs/>
          <w:vertAlign w:val="subscript"/>
          <w:lang w:val="en-AU"/>
        </w:rPr>
        <w:t>recent</w:t>
      </w:r>
      <w:r w:rsidRPr="00DA0EE6">
        <w:rPr>
          <w:rFonts w:eastAsia="Malgun Gothic" w:cstheme="minorHAnsi"/>
          <w:bCs/>
          <w:lang w:val="en-AU"/>
        </w:rPr>
        <w:t>/SB</w:t>
      </w:r>
      <w:r w:rsidRPr="00DA0EE6">
        <w:rPr>
          <w:rFonts w:eastAsia="Malgun Gothic" w:cstheme="minorHAnsi"/>
          <w:bCs/>
          <w:vertAlign w:val="subscript"/>
          <w:lang w:val="en-AU"/>
        </w:rPr>
        <w:t>F=0</w:t>
      </w:r>
      <w:r w:rsidRPr="00DA0EE6">
        <w:rPr>
          <w:rFonts w:eastAsia="Malgun Gothic" w:cstheme="minorHAnsi"/>
          <w:bCs/>
          <w:lang w:val="en-AU"/>
        </w:rPr>
        <w:t>) = 0.33 with a probable range of 0.20 to 0.41 (80% probable range), and there was a roughly 8% probability (4 out of 48 models) that the recent spawning biomass had breached the adopted LRP with Prob((SB</w:t>
      </w:r>
      <w:r w:rsidRPr="00DA0EE6">
        <w:rPr>
          <w:rFonts w:eastAsia="Malgun Gothic" w:cstheme="minorHAnsi"/>
          <w:bCs/>
          <w:vertAlign w:val="subscript"/>
          <w:lang w:val="en-AU"/>
        </w:rPr>
        <w:t>recent</w:t>
      </w:r>
      <w:r w:rsidRPr="00DA0EE6">
        <w:rPr>
          <w:rFonts w:eastAsia="Malgun Gothic" w:cstheme="minorHAnsi"/>
          <w:bCs/>
          <w:lang w:val="en-AU"/>
        </w:rPr>
        <w:t>/SB</w:t>
      </w:r>
      <w:r w:rsidRPr="00DA0EE6">
        <w:rPr>
          <w:rFonts w:eastAsia="Malgun Gothic" w:cstheme="minorHAnsi"/>
          <w:bCs/>
          <w:vertAlign w:val="subscript"/>
          <w:lang w:val="en-AU"/>
        </w:rPr>
        <w:t>F=0</w:t>
      </w:r>
      <w:r w:rsidRPr="00DA0EE6">
        <w:rPr>
          <w:rFonts w:eastAsia="Malgun Gothic" w:cstheme="minorHAnsi"/>
          <w:bCs/>
          <w:lang w:val="en-AU"/>
        </w:rPr>
        <w:t>)&lt;0.2) = 0.08. The median estimate (0.33) is</w:t>
      </w:r>
      <w:r w:rsidRPr="00DA0EE6">
        <w:rPr>
          <w:rFonts w:eastAsia="Malgun Gothic" w:cstheme="minorHAnsi"/>
          <w:bCs/>
          <w:lang w:val="en-AU"/>
        </w:rPr>
        <w:t xml:space="preserve">　</w:t>
      </w:r>
      <w:r w:rsidRPr="00DA0EE6">
        <w:rPr>
          <w:rFonts w:eastAsia="Malgun Gothic" w:cstheme="minorHAnsi"/>
          <w:bCs/>
          <w:lang w:val="en-AU"/>
        </w:rPr>
        <w:t>below that estimated from the 2014 assessment grid</w:t>
      </w:r>
      <w:r w:rsidRPr="00DA0EE6">
        <w:rPr>
          <w:rFonts w:eastAsia="Malgun Gothic" w:cstheme="minorHAnsi"/>
          <w:bCs/>
          <w:lang w:val="en-AU" w:eastAsia="ko-KR"/>
        </w:rPr>
        <w:t xml:space="preserve"> </w:t>
      </w:r>
      <w:r w:rsidRPr="00DA0EE6">
        <w:rPr>
          <w:rFonts w:eastAsia="Malgun Gothic" w:cstheme="minorHAnsi"/>
          <w:bCs/>
          <w:lang w:val="en-AU"/>
        </w:rPr>
        <w:t>((SB</w:t>
      </w:r>
      <w:r w:rsidRPr="00DA0EE6">
        <w:rPr>
          <w:rFonts w:eastAsia="Malgun Gothic" w:cstheme="minorHAnsi"/>
          <w:bCs/>
          <w:vertAlign w:val="subscript"/>
          <w:lang w:val="en-AU"/>
        </w:rPr>
        <w:t>current</w:t>
      </w:r>
      <w:r w:rsidRPr="00DA0EE6">
        <w:rPr>
          <w:rFonts w:eastAsia="Malgun Gothic" w:cstheme="minorHAnsi"/>
          <w:bCs/>
          <w:lang w:val="en-AU"/>
        </w:rPr>
        <w:t>/SB</w:t>
      </w:r>
      <w:r w:rsidRPr="00DA0EE6">
        <w:rPr>
          <w:rFonts w:eastAsia="Malgun Gothic" w:cstheme="minorHAnsi"/>
          <w:bCs/>
          <w:vertAlign w:val="subscript"/>
          <w:lang w:val="en-AU"/>
        </w:rPr>
        <w:t>F=0</w:t>
      </w:r>
      <w:r w:rsidRPr="00DA0EE6">
        <w:rPr>
          <w:rFonts w:eastAsia="Malgun Gothic" w:cstheme="minorHAnsi"/>
          <w:bCs/>
          <w:lang w:val="en-AU"/>
        </w:rPr>
        <w:t xml:space="preserve">) = 0.41, see SC10-SA-WP-04), noting the differences in grid uncertainty axes used in that assessment. </w:t>
      </w:r>
    </w:p>
    <w:p w14:paraId="3FCA8A07" w14:textId="77777777" w:rsidR="00140D64" w:rsidRPr="00DA0EE6" w:rsidRDefault="00140D64" w:rsidP="00167819">
      <w:pPr>
        <w:autoSpaceDE w:val="0"/>
        <w:autoSpaceDN w:val="0"/>
        <w:adjustRightInd w:val="0"/>
        <w:snapToGrid w:val="0"/>
        <w:spacing w:after="0" w:line="240" w:lineRule="auto"/>
        <w:jc w:val="both"/>
        <w:rPr>
          <w:rFonts w:eastAsia="Malgun Gothic" w:cstheme="minorHAnsi"/>
          <w:bCs/>
          <w:lang w:val="en-AU"/>
        </w:rPr>
      </w:pPr>
    </w:p>
    <w:p w14:paraId="581E0B9A"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noted that the central tendency of relative recent fishing mortality was median (F</w:t>
      </w:r>
      <w:r w:rsidRPr="00DA0EE6">
        <w:rPr>
          <w:rFonts w:eastAsia="Malgun Gothic" w:cstheme="minorHAnsi"/>
          <w:bCs/>
          <w:vertAlign w:val="subscript"/>
          <w:lang w:val="en-AU"/>
        </w:rPr>
        <w:t>recent</w:t>
      </w:r>
      <w:r w:rsidRPr="00DA0EE6">
        <w:rPr>
          <w:rFonts w:eastAsia="Malgun Gothic" w:cstheme="minorHAnsi"/>
          <w:bCs/>
          <w:lang w:val="en-AU"/>
        </w:rPr>
        <w:t>/F</w:t>
      </w:r>
      <w:r w:rsidRPr="00DA0EE6">
        <w:rPr>
          <w:rFonts w:eastAsia="Malgun Gothic" w:cstheme="minorHAnsi"/>
          <w:bCs/>
          <w:vertAlign w:val="subscript"/>
          <w:lang w:val="en-AU" w:eastAsia="ko-KR"/>
        </w:rPr>
        <w:t>MSY</w:t>
      </w:r>
      <w:r w:rsidRPr="00DA0EE6">
        <w:rPr>
          <w:rFonts w:eastAsia="Malgun Gothic" w:cstheme="minorHAnsi"/>
          <w:bCs/>
          <w:lang w:val="en-AU"/>
        </w:rPr>
        <w:t>) = 0.74 with an 80% probability interval of 0.62 to 0.97, and there was a roughly 4% probability (2 out of 48 models) that the recent fishing mortality was above F</w:t>
      </w:r>
      <w:r w:rsidRPr="00DA0EE6">
        <w:rPr>
          <w:rFonts w:eastAsia="Malgun Gothic" w:cstheme="minorHAnsi"/>
          <w:bCs/>
          <w:vertAlign w:val="subscript"/>
          <w:lang w:val="en-AU" w:eastAsia="ko-KR"/>
        </w:rPr>
        <w:t>MSY</w:t>
      </w:r>
      <w:r w:rsidRPr="00DA0EE6">
        <w:rPr>
          <w:rFonts w:eastAsia="Malgun Gothic" w:cstheme="minorHAnsi"/>
          <w:bCs/>
          <w:lang w:val="en-AU"/>
        </w:rPr>
        <w:t xml:space="preserve"> with Prob((F</w:t>
      </w:r>
      <w:r w:rsidRPr="00DA0EE6">
        <w:rPr>
          <w:rFonts w:eastAsia="Malgun Gothic" w:cstheme="minorHAnsi"/>
          <w:bCs/>
          <w:vertAlign w:val="subscript"/>
          <w:lang w:val="en-AU"/>
        </w:rPr>
        <w:t>recent</w:t>
      </w:r>
      <w:r w:rsidRPr="00DA0EE6">
        <w:rPr>
          <w:rFonts w:eastAsia="Malgun Gothic" w:cstheme="minorHAnsi"/>
          <w:bCs/>
          <w:lang w:val="en-AU"/>
        </w:rPr>
        <w:t>/F</w:t>
      </w:r>
      <w:r w:rsidRPr="00DA0EE6">
        <w:rPr>
          <w:rFonts w:eastAsia="Malgun Gothic" w:cstheme="minorHAnsi"/>
          <w:bCs/>
          <w:vertAlign w:val="subscript"/>
          <w:lang w:val="en-AU" w:eastAsia="ko-KR"/>
        </w:rPr>
        <w:t>MSY</w:t>
      </w:r>
      <w:r w:rsidRPr="00DA0EE6">
        <w:rPr>
          <w:rFonts w:eastAsia="Malgun Gothic" w:cstheme="minorHAnsi"/>
          <w:bCs/>
          <w:lang w:val="en-AU"/>
        </w:rPr>
        <w:t>)&gt;1) = 0.04. The median estimate (0.74) is also comparable to that estimated from the 2014 assessment grid (F</w:t>
      </w:r>
      <w:r w:rsidRPr="00DA0EE6">
        <w:rPr>
          <w:rFonts w:eastAsia="Malgun Gothic" w:cstheme="minorHAnsi"/>
          <w:bCs/>
          <w:vertAlign w:val="subscript"/>
          <w:lang w:val="en-AU"/>
        </w:rPr>
        <w:t>current</w:t>
      </w:r>
      <w:r w:rsidRPr="00DA0EE6">
        <w:rPr>
          <w:rFonts w:eastAsia="Malgun Gothic" w:cstheme="minorHAnsi"/>
          <w:bCs/>
          <w:lang w:val="en-AU"/>
        </w:rPr>
        <w:t>/F</w:t>
      </w:r>
      <w:r w:rsidRPr="00DA0EE6">
        <w:rPr>
          <w:rFonts w:eastAsia="Malgun Gothic" w:cstheme="minorHAnsi"/>
          <w:bCs/>
          <w:vertAlign w:val="subscript"/>
          <w:lang w:val="en-AU" w:eastAsia="ko-KR"/>
        </w:rPr>
        <w:t>MSY</w:t>
      </w:r>
      <w:r w:rsidRPr="00DA0EE6">
        <w:rPr>
          <w:rFonts w:eastAsia="Malgun Gothic" w:cstheme="minorHAnsi"/>
          <w:bCs/>
          <w:lang w:val="en-AU"/>
        </w:rPr>
        <w:t xml:space="preserve"> = 0.76, see SC10-SA-WP-04) </w:t>
      </w:r>
    </w:p>
    <w:p w14:paraId="13B003B7" w14:textId="77777777" w:rsidR="00140D64" w:rsidRPr="00DA0EE6" w:rsidRDefault="00140D64" w:rsidP="00167819">
      <w:pPr>
        <w:adjustRightInd w:val="0"/>
        <w:snapToGrid w:val="0"/>
        <w:spacing w:after="0" w:line="240" w:lineRule="auto"/>
        <w:ind w:left="720" w:hanging="720"/>
        <w:jc w:val="both"/>
        <w:rPr>
          <w:rFonts w:eastAsia="Malgun Gothic" w:cstheme="minorHAnsi"/>
          <w:bCs/>
          <w:lang w:val="en-AU"/>
        </w:rPr>
      </w:pPr>
    </w:p>
    <w:p w14:paraId="628B451E"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 xml:space="preserve">SC13 noted that the assessment results show that the stock has been continuously declining for about 50 years since the late 1960’s. </w:t>
      </w:r>
    </w:p>
    <w:p w14:paraId="13E76E3C" w14:textId="77777777" w:rsidR="00140D64" w:rsidRPr="00DA0EE6" w:rsidRDefault="00140D64" w:rsidP="00167819">
      <w:pPr>
        <w:adjustRightInd w:val="0"/>
        <w:snapToGrid w:val="0"/>
        <w:spacing w:after="0" w:line="240" w:lineRule="auto"/>
        <w:ind w:left="720" w:hanging="720"/>
        <w:jc w:val="both"/>
        <w:rPr>
          <w:rFonts w:eastAsia="Malgun Gothic" w:cstheme="minorHAnsi"/>
          <w:bCs/>
          <w:lang w:val="en-AU"/>
        </w:rPr>
      </w:pPr>
    </w:p>
    <w:p w14:paraId="307CC193"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also noted that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(as shown in Figure 44 of SC13-SA-WP-06).</w:t>
      </w:r>
    </w:p>
    <w:p w14:paraId="3D1AECB5" w14:textId="77777777" w:rsidR="00140D64" w:rsidRPr="00DA0EE6" w:rsidRDefault="00140D64" w:rsidP="00167819">
      <w:pPr>
        <w:adjustRightInd w:val="0"/>
        <w:snapToGrid w:val="0"/>
        <w:spacing w:after="0" w:line="240" w:lineRule="auto"/>
        <w:ind w:left="720" w:hanging="720"/>
        <w:jc w:val="both"/>
        <w:rPr>
          <w:rFonts w:eastAsia="Malgun Gothic" w:cstheme="minorHAnsi"/>
          <w:b/>
          <w:lang w:val="en-AU"/>
        </w:rPr>
      </w:pPr>
    </w:p>
    <w:p w14:paraId="4CF7C075" w14:textId="77777777" w:rsidR="00140D64" w:rsidRPr="00DA0EE6" w:rsidRDefault="00140D64" w:rsidP="00F56124">
      <w:pPr>
        <w:numPr>
          <w:ilvl w:val="0"/>
          <w:numId w:val="4"/>
        </w:numPr>
        <w:adjustRightInd w:val="0"/>
        <w:snapToGrid w:val="0"/>
        <w:spacing w:after="0" w:line="240" w:lineRule="auto"/>
        <w:ind w:left="0" w:firstLine="0"/>
        <w:jc w:val="both"/>
        <w:rPr>
          <w:rFonts w:eastAsia="Malgun Gothic" w:cstheme="minorHAnsi"/>
          <w:b/>
          <w:lang w:val="en-NZ" w:eastAsia="en-NZ"/>
        </w:rPr>
      </w:pPr>
      <w:r w:rsidRPr="00DA0EE6">
        <w:rPr>
          <w:rFonts w:eastAsia="Malgun Gothic" w:cstheme="minorHAnsi"/>
          <w:b/>
          <w:lang w:val="en-NZ" w:eastAsia="en-NZ"/>
        </w:rPr>
        <w:t>Management advice and implications</w:t>
      </w:r>
    </w:p>
    <w:p w14:paraId="579F2723" w14:textId="77777777" w:rsidR="00140D64" w:rsidRPr="00DA0EE6" w:rsidRDefault="00140D64" w:rsidP="00167819">
      <w:pPr>
        <w:adjustRightInd w:val="0"/>
        <w:snapToGrid w:val="0"/>
        <w:spacing w:after="0" w:line="240" w:lineRule="auto"/>
        <w:ind w:left="720"/>
        <w:jc w:val="both"/>
        <w:rPr>
          <w:rFonts w:eastAsia="Malgun Gothic" w:cstheme="minorHAnsi"/>
          <w:b/>
          <w:lang w:val="en-NZ" w:eastAsia="en-NZ"/>
        </w:rPr>
      </w:pPr>
    </w:p>
    <w:p w14:paraId="0FAD535E"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Based on the uncertainty grid adopted by SC13 the spawning biomass is highly likely above the biomass LRP and recent F is highly likely below F</w:t>
      </w:r>
      <w:r w:rsidRPr="00DA0EE6">
        <w:rPr>
          <w:rFonts w:eastAsia="Malgun Gothic" w:cstheme="minorHAnsi"/>
          <w:bCs/>
          <w:vertAlign w:val="subscript"/>
          <w:lang w:val="en-AU" w:eastAsia="ko-KR"/>
        </w:rPr>
        <w:t>MSY</w:t>
      </w:r>
      <w:r w:rsidRPr="00DA0EE6">
        <w:rPr>
          <w:rFonts w:eastAsia="Malgun Gothic" w:cstheme="minorHAnsi"/>
          <w:bCs/>
          <w:lang w:val="en-AU"/>
        </w:rPr>
        <w:t xml:space="preserve">, and therefore noting the level of uncertainties in the </w:t>
      </w:r>
      <w:r w:rsidRPr="00DA0EE6">
        <w:rPr>
          <w:rFonts w:eastAsia="Malgun Gothic" w:cstheme="minorHAnsi"/>
          <w:bCs/>
          <w:lang w:val="en-AU"/>
        </w:rPr>
        <w:lastRenderedPageBreak/>
        <w:t xml:space="preserve">current assessment </w:t>
      </w:r>
      <w:r w:rsidRPr="00DA0EE6">
        <w:rPr>
          <w:rFonts w:eastAsia="Malgun Gothic" w:cstheme="minorHAnsi"/>
          <w:bCs/>
          <w:lang w:val="en-AU" w:eastAsia="ko-KR"/>
        </w:rPr>
        <w:t>it</w:t>
      </w:r>
      <w:r w:rsidRPr="00DA0EE6">
        <w:rPr>
          <w:rFonts w:eastAsia="Malgun Gothic" w:cstheme="minorHAnsi"/>
          <w:bCs/>
          <w:lang w:val="en-AU"/>
        </w:rPr>
        <w:t xml:space="preserve"> appears that the stock is not experiencing overfishing 96% probability) and it appears that the stock is not in an overfished condition (92% probability).</w:t>
      </w:r>
    </w:p>
    <w:p w14:paraId="0763F4F9" w14:textId="77777777" w:rsidR="00140D64" w:rsidRPr="00DA0EE6" w:rsidRDefault="00140D64" w:rsidP="00167819">
      <w:pPr>
        <w:autoSpaceDE w:val="0"/>
        <w:autoSpaceDN w:val="0"/>
        <w:adjustRightInd w:val="0"/>
        <w:snapToGrid w:val="0"/>
        <w:spacing w:after="0" w:line="240" w:lineRule="auto"/>
        <w:jc w:val="both"/>
        <w:rPr>
          <w:rFonts w:eastAsia="Malgun Gothic" w:cstheme="minorHAnsi"/>
          <w:bCs/>
          <w:lang w:val="en-AU"/>
        </w:rPr>
      </w:pPr>
    </w:p>
    <w:p w14:paraId="20B9B44C"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Based on the diagnostic case, both juvenile and adult fishing mortality show a steady increase since the 1970s. Adult fishing mortality has increased continuously over most of the time series, while juvenile fishing mortality has stabilized since the late 1990s at a level similar to that now estimated for adult yellowfin.</w:t>
      </w:r>
    </w:p>
    <w:p w14:paraId="0F469829" w14:textId="77777777" w:rsidR="00140D64" w:rsidRPr="00DA0EE6" w:rsidRDefault="00140D64" w:rsidP="00167819">
      <w:pPr>
        <w:adjustRightInd w:val="0"/>
        <w:snapToGrid w:val="0"/>
        <w:spacing w:after="0" w:line="240" w:lineRule="auto"/>
        <w:ind w:left="720" w:hanging="720"/>
        <w:jc w:val="both"/>
        <w:rPr>
          <w:rFonts w:eastAsia="Malgun Gothic" w:cstheme="minorHAnsi"/>
          <w:bCs/>
          <w:lang w:val="en-AU"/>
        </w:rPr>
      </w:pPr>
    </w:p>
    <w:p w14:paraId="22481A7D"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reiterates its previous advice from SC10 that WCPFC could consider measures to reduce fishing mortality from fisheries that take juveniles, with the goal to increase to maximum fishery yields and reduce any further impacts on the spawning potential for this stock in the tropical regions.</w:t>
      </w:r>
    </w:p>
    <w:p w14:paraId="432CECBA" w14:textId="77777777" w:rsidR="00140D64" w:rsidRPr="00DA0EE6" w:rsidRDefault="00140D64" w:rsidP="00167819">
      <w:pPr>
        <w:adjustRightInd w:val="0"/>
        <w:snapToGrid w:val="0"/>
        <w:spacing w:after="0" w:line="240" w:lineRule="auto"/>
        <w:ind w:left="720" w:hanging="720"/>
        <w:jc w:val="both"/>
        <w:rPr>
          <w:rFonts w:eastAsia="Malgun Gothic" w:cstheme="minorHAnsi"/>
          <w:bCs/>
          <w:lang w:val="en-AU"/>
        </w:rPr>
      </w:pPr>
    </w:p>
    <w:p w14:paraId="2D8261B4"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also reiterates its previous advice from SC10 that measures should be implemented to maintain current spawning biomass levels until the Commission can agree on an appropriate target reference point (TRP).</w:t>
      </w:r>
    </w:p>
    <w:p w14:paraId="7DEB10D3" w14:textId="77777777" w:rsidR="00140D64" w:rsidRPr="00DA0EE6" w:rsidRDefault="00140D64" w:rsidP="00167819">
      <w:pPr>
        <w:adjustRightInd w:val="0"/>
        <w:snapToGrid w:val="0"/>
        <w:spacing w:after="0" w:line="240" w:lineRule="auto"/>
        <w:ind w:left="720" w:hanging="720"/>
        <w:jc w:val="both"/>
        <w:rPr>
          <w:rFonts w:eastAsia="Malgun Gothic" w:cstheme="minorHAnsi"/>
          <w:b/>
          <w:lang w:val="en-AU"/>
        </w:rPr>
      </w:pPr>
    </w:p>
    <w:p w14:paraId="3DF17812" w14:textId="77777777" w:rsidR="00140D64" w:rsidRPr="00DA0EE6" w:rsidRDefault="00140D64" w:rsidP="00167819">
      <w:pPr>
        <w:adjustRightInd w:val="0"/>
        <w:snapToGrid w:val="0"/>
        <w:spacing w:after="0" w:line="240" w:lineRule="auto"/>
        <w:jc w:val="both"/>
        <w:rPr>
          <w:rFonts w:eastAsia="Malgun Gothic" w:cstheme="minorHAnsi"/>
          <w:b/>
          <w:lang w:val="en-NZ" w:eastAsia="en-NZ"/>
        </w:rPr>
      </w:pPr>
      <w:r w:rsidRPr="00DA0EE6">
        <w:rPr>
          <w:rFonts w:eastAsia="Malgun Gothic" w:cstheme="minorHAnsi"/>
          <w:b/>
          <w:lang w:val="en-NZ" w:eastAsia="en-NZ"/>
        </w:rPr>
        <w:t>Research Recommendations</w:t>
      </w:r>
    </w:p>
    <w:p w14:paraId="73982978" w14:textId="77777777" w:rsidR="00140D64" w:rsidRPr="00DA0EE6" w:rsidRDefault="00140D64" w:rsidP="00167819">
      <w:pPr>
        <w:adjustRightInd w:val="0"/>
        <w:snapToGrid w:val="0"/>
        <w:spacing w:after="0" w:line="240" w:lineRule="auto"/>
        <w:ind w:left="720"/>
        <w:jc w:val="both"/>
        <w:rPr>
          <w:rFonts w:eastAsia="Malgun Gothic" w:cstheme="minorHAnsi"/>
          <w:b/>
          <w:lang w:val="en-NZ" w:eastAsia="en-NZ"/>
        </w:rPr>
      </w:pPr>
    </w:p>
    <w:p w14:paraId="2F7BE61E" w14:textId="77777777" w:rsidR="00140D64" w:rsidRPr="00DA0EE6" w:rsidRDefault="00140D64" w:rsidP="00167819">
      <w:pPr>
        <w:numPr>
          <w:ilvl w:val="0"/>
          <w:numId w:val="2"/>
        </w:numPr>
        <w:autoSpaceDE w:val="0"/>
        <w:autoSpaceDN w:val="0"/>
        <w:adjustRightInd w:val="0"/>
        <w:snapToGrid w:val="0"/>
        <w:spacing w:after="0" w:line="240" w:lineRule="auto"/>
        <w:ind w:left="0" w:firstLine="0"/>
        <w:jc w:val="both"/>
        <w:rPr>
          <w:rFonts w:eastAsia="Malgun Gothic" w:cstheme="minorHAnsi"/>
          <w:bCs/>
          <w:lang w:val="en-AU"/>
        </w:rPr>
      </w:pPr>
      <w:r w:rsidRPr="00DA0EE6">
        <w:rPr>
          <w:rFonts w:eastAsia="Malgun Gothic" w:cstheme="minorHAnsi"/>
          <w:bCs/>
          <w:lang w:val="en-AU"/>
        </w:rPr>
        <w:t>SC13 recognized that reviewing yellowfin growth through a study of yellowfin otoliths collected from the WCPO and incorporating this into future assessments should be encouraged.</w:t>
      </w:r>
    </w:p>
    <w:p w14:paraId="3F37DAC0" w14:textId="77777777" w:rsidR="005C2B8D" w:rsidRPr="00DA0EE6" w:rsidRDefault="005C2B8D" w:rsidP="00167819">
      <w:pPr>
        <w:adjustRightInd w:val="0"/>
        <w:snapToGrid w:val="0"/>
        <w:spacing w:after="0" w:line="240" w:lineRule="auto"/>
        <w:rPr>
          <w:rFonts w:cstheme="minorHAnsi"/>
        </w:rPr>
      </w:pPr>
    </w:p>
    <w:p w14:paraId="232D6985" w14:textId="77777777" w:rsidR="00194EBD" w:rsidRPr="00DA0EE6" w:rsidRDefault="00194EBD" w:rsidP="00167819">
      <w:pPr>
        <w:pStyle w:val="Heading1"/>
        <w:adjustRightInd w:val="0"/>
        <w:snapToGrid w:val="0"/>
        <w:spacing w:before="0" w:line="240" w:lineRule="auto"/>
        <w:rPr>
          <w:rFonts w:asciiTheme="minorHAnsi" w:eastAsia="MS Mincho" w:hAnsiTheme="minorHAnsi" w:cstheme="minorHAnsi"/>
          <w:b/>
          <w:bCs/>
          <w:caps/>
          <w:lang w:val="en-NZ" w:eastAsia="en-NZ"/>
        </w:rPr>
      </w:pPr>
      <w:bookmarkStart w:id="6" w:name="_Toc495323856"/>
      <w:bookmarkStart w:id="7" w:name="_Toc495391344"/>
    </w:p>
    <w:p w14:paraId="5CCFC706" w14:textId="01B1F5C0" w:rsidR="007C0132" w:rsidRPr="00DA0EE6" w:rsidRDefault="007C0132" w:rsidP="00167819">
      <w:pPr>
        <w:pStyle w:val="Heading1"/>
        <w:adjustRightInd w:val="0"/>
        <w:snapToGrid w:val="0"/>
        <w:spacing w:before="0" w:line="240" w:lineRule="auto"/>
        <w:rPr>
          <w:rFonts w:asciiTheme="minorHAnsi" w:eastAsia="MS Mincho" w:hAnsiTheme="minorHAnsi" w:cstheme="minorHAnsi"/>
          <w:b/>
          <w:bCs/>
          <w:caps/>
          <w:lang w:val="en-NZ" w:eastAsia="en-NZ"/>
        </w:rPr>
      </w:pPr>
      <w:bookmarkStart w:id="8" w:name="_Toc159853632"/>
      <w:r w:rsidRPr="00DA0EE6">
        <w:rPr>
          <w:rFonts w:asciiTheme="minorHAnsi" w:eastAsia="MS Mincho" w:hAnsiTheme="minorHAnsi" w:cstheme="minorHAnsi"/>
          <w:b/>
          <w:bCs/>
          <w:caps/>
          <w:lang w:val="en-NZ" w:eastAsia="en-NZ"/>
        </w:rPr>
        <w:t>References</w:t>
      </w:r>
      <w:bookmarkEnd w:id="6"/>
      <w:bookmarkEnd w:id="7"/>
      <w:bookmarkEnd w:id="8"/>
    </w:p>
    <w:p w14:paraId="2A1311C4" w14:textId="77777777" w:rsidR="007C0132" w:rsidRPr="00DA0EE6" w:rsidRDefault="007C0132" w:rsidP="00167819">
      <w:pPr>
        <w:adjustRightInd w:val="0"/>
        <w:snapToGrid w:val="0"/>
        <w:spacing w:after="0" w:line="240" w:lineRule="auto"/>
        <w:rPr>
          <w:rFonts w:cstheme="minorHAnsi"/>
        </w:rPr>
      </w:pPr>
    </w:p>
    <w:p w14:paraId="21F0ECC8" w14:textId="29CE13A2" w:rsidR="00881545" w:rsidRPr="00DA0EE6" w:rsidRDefault="00881545" w:rsidP="00CE0519">
      <w:pPr>
        <w:adjustRightInd w:val="0"/>
        <w:snapToGrid w:val="0"/>
        <w:spacing w:after="0" w:line="240" w:lineRule="auto"/>
        <w:rPr>
          <w:rFonts w:cstheme="minorHAnsi"/>
        </w:rPr>
      </w:pPr>
      <w:r w:rsidRPr="00DA0EE6">
        <w:rPr>
          <w:rFonts w:cstheme="minorHAnsi"/>
          <w:color w:val="666666"/>
        </w:rPr>
        <w:t xml:space="preserve">SC16-SA-WP-02 </w:t>
      </w:r>
      <w:hyperlink r:id="rId50" w:history="1">
        <w:r w:rsidRPr="00E120FE">
          <w:rPr>
            <w:rStyle w:val="Hyperlink"/>
            <w:rFonts w:cstheme="minorHAnsi"/>
            <w:color w:val="auto"/>
          </w:rPr>
          <w:t>Age and growth of yellowfin and bigeye tuna in the western and central Pacific Ocean from otoliths</w:t>
        </w:r>
      </w:hyperlink>
      <w:r w:rsidRPr="00DA0EE6">
        <w:rPr>
          <w:rFonts w:cstheme="minorHAnsi"/>
        </w:rPr>
        <w:t xml:space="preserve"> </w:t>
      </w:r>
      <w:hyperlink r:id="rId51" w:history="1">
        <w:r w:rsidRPr="00DA0EE6">
          <w:rPr>
            <w:rStyle w:val="Hyperlink"/>
            <w:rFonts w:cstheme="minorHAnsi"/>
          </w:rPr>
          <w:t>https://www.wcpfc.int/node/46609</w:t>
        </w:r>
      </w:hyperlink>
    </w:p>
    <w:p w14:paraId="61D3F174" w14:textId="1AE2E155" w:rsidR="00881545" w:rsidRPr="00DA0EE6" w:rsidRDefault="00881545" w:rsidP="00CE0519">
      <w:pPr>
        <w:adjustRightInd w:val="0"/>
        <w:snapToGrid w:val="0"/>
        <w:spacing w:after="0" w:line="240" w:lineRule="auto"/>
        <w:rPr>
          <w:rFonts w:cstheme="minorHAnsi"/>
        </w:rPr>
      </w:pPr>
    </w:p>
    <w:p w14:paraId="0CEB4CD4" w14:textId="537AF293" w:rsidR="00881545" w:rsidRPr="00DA0EE6" w:rsidRDefault="00881545" w:rsidP="00CE0519">
      <w:pPr>
        <w:adjustRightInd w:val="0"/>
        <w:snapToGrid w:val="0"/>
        <w:spacing w:after="0" w:line="240" w:lineRule="auto"/>
        <w:rPr>
          <w:rFonts w:cstheme="minorHAnsi"/>
        </w:rPr>
      </w:pPr>
      <w:r w:rsidRPr="00DA0EE6">
        <w:rPr>
          <w:rFonts w:cstheme="minorHAnsi"/>
          <w:color w:val="666666"/>
        </w:rPr>
        <w:t xml:space="preserve">SC16-SA-WP-04 </w:t>
      </w:r>
      <w:hyperlink r:id="rId52" w:history="1">
        <w:r w:rsidRPr="00E120FE">
          <w:rPr>
            <w:rStyle w:val="Hyperlink"/>
            <w:rFonts w:cstheme="minorHAnsi"/>
            <w:color w:val="auto"/>
          </w:rPr>
          <w:t>Stock assessment of yellowfin tuna in the western and central Pacific Ocean (31July) - Rev.03</w:t>
        </w:r>
      </w:hyperlink>
      <w:r w:rsidRPr="00DA0EE6">
        <w:rPr>
          <w:rFonts w:cstheme="minorHAnsi"/>
        </w:rPr>
        <w:t xml:space="preserve"> https://www.wcpfc.int/node/46611</w:t>
      </w:r>
    </w:p>
    <w:p w14:paraId="0A05B329" w14:textId="19BA5873" w:rsidR="00881545" w:rsidRPr="00DA0EE6" w:rsidRDefault="00881545" w:rsidP="00CE0519">
      <w:pPr>
        <w:adjustRightInd w:val="0"/>
        <w:snapToGrid w:val="0"/>
        <w:spacing w:after="0" w:line="240" w:lineRule="auto"/>
        <w:rPr>
          <w:rFonts w:cstheme="minorHAnsi"/>
        </w:rPr>
      </w:pPr>
    </w:p>
    <w:p w14:paraId="1CDFFEA2" w14:textId="4C8A3157" w:rsidR="00881545" w:rsidRPr="00DA0EE6" w:rsidRDefault="00881545" w:rsidP="00CE0519">
      <w:pPr>
        <w:adjustRightInd w:val="0"/>
        <w:snapToGrid w:val="0"/>
        <w:spacing w:after="0" w:line="240" w:lineRule="auto"/>
        <w:rPr>
          <w:rFonts w:cstheme="minorHAnsi"/>
        </w:rPr>
      </w:pPr>
      <w:r w:rsidRPr="00DA0EE6">
        <w:rPr>
          <w:rFonts w:cstheme="minorHAnsi"/>
          <w:color w:val="666666"/>
        </w:rPr>
        <w:t xml:space="preserve">SC16-SA-IP-06 </w:t>
      </w:r>
      <w:hyperlink r:id="rId53" w:history="1">
        <w:r w:rsidRPr="00E120FE">
          <w:rPr>
            <w:rStyle w:val="Hyperlink"/>
            <w:rFonts w:cstheme="minorHAnsi"/>
            <w:color w:val="auto"/>
          </w:rPr>
          <w:t>Background analyses for the 2020 stock assessments of bigeye and yellowfin tuna</w:t>
        </w:r>
      </w:hyperlink>
      <w:r w:rsidRPr="00E120FE">
        <w:rPr>
          <w:rFonts w:cstheme="minorHAnsi"/>
        </w:rPr>
        <w:t xml:space="preserve"> </w:t>
      </w:r>
      <w:hyperlink r:id="rId54" w:history="1">
        <w:r w:rsidR="00E120FE" w:rsidRPr="00107482">
          <w:rPr>
            <w:rStyle w:val="Hyperlink"/>
            <w:rFonts w:cstheme="minorHAnsi"/>
            <w:color w:val="034990" w:themeColor="hyperlink" w:themeShade="BF"/>
          </w:rPr>
          <w:t>https://www.wcpfc.int/node/46620</w:t>
        </w:r>
      </w:hyperlink>
      <w:r w:rsidR="00E120FE">
        <w:rPr>
          <w:rFonts w:cstheme="minorHAnsi"/>
          <w:color w:val="2E74B5" w:themeColor="accent5" w:themeShade="BF"/>
        </w:rPr>
        <w:t xml:space="preserve"> </w:t>
      </w:r>
    </w:p>
    <w:p w14:paraId="6B092949" w14:textId="77777777" w:rsidR="00881545" w:rsidRPr="00DA0EE6" w:rsidRDefault="00881545" w:rsidP="00CE0519">
      <w:pPr>
        <w:adjustRightInd w:val="0"/>
        <w:snapToGrid w:val="0"/>
        <w:spacing w:after="0" w:line="240" w:lineRule="auto"/>
        <w:rPr>
          <w:rFonts w:cstheme="minorHAnsi"/>
        </w:rPr>
      </w:pPr>
    </w:p>
    <w:p w14:paraId="4D602D18" w14:textId="32B87FBC" w:rsidR="00CE0519" w:rsidRPr="00DA0EE6" w:rsidRDefault="00CE0519" w:rsidP="00CE0519">
      <w:pPr>
        <w:adjustRightInd w:val="0"/>
        <w:snapToGrid w:val="0"/>
        <w:spacing w:after="0" w:line="240" w:lineRule="auto"/>
        <w:rPr>
          <w:rFonts w:cstheme="minorHAnsi"/>
        </w:rPr>
      </w:pPr>
      <w:r w:rsidRPr="00DA0EE6">
        <w:rPr>
          <w:rFonts w:cstheme="minorHAnsi"/>
        </w:rPr>
        <w:t>SC15-</w:t>
      </w:r>
      <w:r w:rsidRPr="00DA0EE6">
        <w:rPr>
          <w:rFonts w:cstheme="minorHAnsi"/>
          <w:lang w:val="en-NZ"/>
        </w:rPr>
        <w:t xml:space="preserve"> SA-WP-01 </w:t>
      </w:r>
      <w:r w:rsidRPr="00DA0EE6">
        <w:rPr>
          <w:rFonts w:cstheme="minorHAnsi"/>
        </w:rPr>
        <w:t xml:space="preserve">A compendium of fisheries indicators for tuna stocks. </w:t>
      </w:r>
      <w:hyperlink r:id="rId55" w:history="1">
        <w:r w:rsidRPr="00DA0EE6">
          <w:rPr>
            <w:rStyle w:val="Hyperlink"/>
            <w:rFonts w:cstheme="minorHAnsi"/>
          </w:rPr>
          <w:t>https://www.wcpfc.int/node/42927</w:t>
        </w:r>
      </w:hyperlink>
    </w:p>
    <w:p w14:paraId="736E0EE7" w14:textId="77777777" w:rsidR="00CE0519" w:rsidRPr="00DA0EE6" w:rsidRDefault="00CE0519" w:rsidP="00167819">
      <w:pPr>
        <w:adjustRightInd w:val="0"/>
        <w:snapToGrid w:val="0"/>
        <w:spacing w:after="0" w:line="240" w:lineRule="auto"/>
        <w:rPr>
          <w:rFonts w:cstheme="minorHAnsi"/>
        </w:rPr>
      </w:pPr>
    </w:p>
    <w:p w14:paraId="7778E40D" w14:textId="77777777" w:rsidR="00CE0519" w:rsidRPr="00DA0EE6" w:rsidRDefault="00CE0519" w:rsidP="00CE0519">
      <w:pPr>
        <w:adjustRightInd w:val="0"/>
        <w:snapToGrid w:val="0"/>
        <w:spacing w:after="0" w:line="240" w:lineRule="auto"/>
        <w:rPr>
          <w:rFonts w:cstheme="minorHAnsi"/>
        </w:rPr>
      </w:pPr>
      <w:r w:rsidRPr="00DA0EE6">
        <w:rPr>
          <w:rFonts w:cstheme="minorHAnsi"/>
        </w:rPr>
        <w:t>SC15-</w:t>
      </w:r>
      <w:r w:rsidRPr="00DA0EE6">
        <w:rPr>
          <w:rFonts w:cstheme="minorHAnsi"/>
          <w:lang w:val="en-NZ"/>
        </w:rPr>
        <w:t xml:space="preserve"> SA-WP-02 </w:t>
      </w:r>
      <w:r w:rsidRPr="00DA0EE6">
        <w:rPr>
          <w:rFonts w:cstheme="minorHAnsi"/>
        </w:rPr>
        <w:t xml:space="preserve">Project 94: Workshop on yellowfin and bigeye age and growth. </w:t>
      </w:r>
      <w:hyperlink r:id="rId56" w:history="1">
        <w:r w:rsidRPr="00DA0EE6">
          <w:rPr>
            <w:rStyle w:val="Hyperlink"/>
            <w:rFonts w:cstheme="minorHAnsi"/>
          </w:rPr>
          <w:t>https://www.wcpfc.int/node/42928</w:t>
        </w:r>
      </w:hyperlink>
    </w:p>
    <w:p w14:paraId="5DEA7987" w14:textId="44BDF2F8" w:rsidR="00CE0519" w:rsidRPr="00DA0EE6" w:rsidRDefault="00CE0519" w:rsidP="00167819">
      <w:pPr>
        <w:adjustRightInd w:val="0"/>
        <w:snapToGrid w:val="0"/>
        <w:spacing w:after="0" w:line="240" w:lineRule="auto"/>
        <w:rPr>
          <w:rFonts w:cstheme="minorHAnsi"/>
        </w:rPr>
      </w:pPr>
    </w:p>
    <w:p w14:paraId="461EE444" w14:textId="75D7E00D" w:rsidR="00CE0519" w:rsidRPr="00DA0EE6" w:rsidRDefault="00CE0519" w:rsidP="00167819">
      <w:pPr>
        <w:adjustRightInd w:val="0"/>
        <w:snapToGrid w:val="0"/>
        <w:spacing w:after="0" w:line="240" w:lineRule="auto"/>
        <w:rPr>
          <w:rFonts w:cstheme="minorHAnsi"/>
        </w:rPr>
      </w:pPr>
      <w:r w:rsidRPr="00DA0EE6">
        <w:rPr>
          <w:rFonts w:cstheme="minorHAnsi"/>
        </w:rPr>
        <w:t>SC15-</w:t>
      </w:r>
      <w:r w:rsidRPr="00DA0EE6">
        <w:rPr>
          <w:rFonts w:cstheme="minorHAnsi"/>
          <w:lang w:val="en-NZ"/>
        </w:rPr>
        <w:t xml:space="preserve"> SA-WP-03 </w:t>
      </w:r>
      <w:r w:rsidRPr="00DA0EE6">
        <w:rPr>
          <w:rFonts w:cstheme="minorHAnsi"/>
        </w:rPr>
        <w:t xml:space="preserve">Progress on yellowfin tuna age and growth in the WCPO (Project 82). </w:t>
      </w:r>
      <w:hyperlink r:id="rId57" w:history="1">
        <w:r w:rsidRPr="00DA0EE6">
          <w:rPr>
            <w:rStyle w:val="Hyperlink"/>
            <w:rFonts w:cstheme="minorHAnsi"/>
          </w:rPr>
          <w:t>https://www.wcpfc.int/node/42929</w:t>
        </w:r>
      </w:hyperlink>
    </w:p>
    <w:p w14:paraId="5D44E0F8" w14:textId="3677667B" w:rsidR="00CE0519" w:rsidRPr="00DA0EE6" w:rsidRDefault="00CE0519" w:rsidP="00167819">
      <w:pPr>
        <w:adjustRightInd w:val="0"/>
        <w:snapToGrid w:val="0"/>
        <w:spacing w:after="0" w:line="240" w:lineRule="auto"/>
        <w:rPr>
          <w:rFonts w:cstheme="minorHAnsi"/>
          <w:b/>
          <w:bCs/>
        </w:rPr>
      </w:pPr>
    </w:p>
    <w:p w14:paraId="5FBEA85D" w14:textId="77777777" w:rsidR="00CE0519" w:rsidRPr="00DA0EE6" w:rsidRDefault="00CE0519" w:rsidP="00CE0519">
      <w:pPr>
        <w:adjustRightInd w:val="0"/>
        <w:snapToGrid w:val="0"/>
        <w:spacing w:after="0" w:line="240" w:lineRule="auto"/>
        <w:rPr>
          <w:rFonts w:cstheme="minorHAnsi"/>
          <w:lang w:val="en-NZ"/>
        </w:rPr>
      </w:pPr>
      <w:r w:rsidRPr="00DA0EE6">
        <w:rPr>
          <w:rFonts w:cstheme="minorHAnsi"/>
        </w:rPr>
        <w:t>SC15-</w:t>
      </w:r>
      <w:r w:rsidRPr="00DA0EE6">
        <w:rPr>
          <w:rFonts w:cstheme="minorHAnsi"/>
          <w:lang w:val="en-NZ"/>
        </w:rPr>
        <w:t xml:space="preserve"> SA-IP-19 </w:t>
      </w:r>
      <w:r w:rsidRPr="00DA0EE6">
        <w:rPr>
          <w:rFonts w:cstheme="minorHAnsi"/>
          <w:color w:val="000000"/>
        </w:rPr>
        <w:t xml:space="preserve">Report of the Workshop on Age and Growth of Bigeye and Yellowfin Tunas in the Pacific Ocean. </w:t>
      </w:r>
      <w:hyperlink r:id="rId58" w:history="1">
        <w:r w:rsidRPr="00DA0EE6">
          <w:rPr>
            <w:rStyle w:val="Hyperlink"/>
            <w:rFonts w:cstheme="minorHAnsi"/>
          </w:rPr>
          <w:t>https://www.wcpfc.int/node/43329</w:t>
        </w:r>
      </w:hyperlink>
    </w:p>
    <w:p w14:paraId="0198723F" w14:textId="77777777" w:rsidR="00CE0519" w:rsidRPr="00DA0EE6" w:rsidRDefault="00CE0519" w:rsidP="00167819">
      <w:pPr>
        <w:adjustRightInd w:val="0"/>
        <w:snapToGrid w:val="0"/>
        <w:spacing w:after="0" w:line="240" w:lineRule="auto"/>
        <w:rPr>
          <w:rFonts w:cstheme="minorHAnsi"/>
        </w:rPr>
      </w:pPr>
    </w:p>
    <w:p w14:paraId="389D44DA" w14:textId="07451DE4" w:rsidR="00C8592D" w:rsidRPr="00DA0EE6" w:rsidRDefault="00C8592D" w:rsidP="00167819">
      <w:pPr>
        <w:adjustRightInd w:val="0"/>
        <w:snapToGrid w:val="0"/>
        <w:spacing w:after="0" w:line="240" w:lineRule="auto"/>
        <w:rPr>
          <w:rFonts w:cstheme="minorHAnsi"/>
        </w:rPr>
      </w:pPr>
      <w:r w:rsidRPr="00DA0EE6">
        <w:rPr>
          <w:rFonts w:cstheme="minorHAnsi"/>
        </w:rPr>
        <w:t xml:space="preserve">SC14-SA-WP-02 A compendium of fisheries indicators for tuna stocks. </w:t>
      </w:r>
      <w:hyperlink r:id="rId59" w:history="1">
        <w:r w:rsidRPr="00DA0EE6">
          <w:rPr>
            <w:rStyle w:val="Hyperlink"/>
            <w:rFonts w:cstheme="minorHAnsi"/>
          </w:rPr>
          <w:t>https://www.wcpfc.int/node/30987</w:t>
        </w:r>
      </w:hyperlink>
      <w:r w:rsidRPr="00DA0EE6">
        <w:rPr>
          <w:rFonts w:cstheme="minorHAnsi"/>
        </w:rPr>
        <w:t xml:space="preserve"> </w:t>
      </w:r>
    </w:p>
    <w:p w14:paraId="04671EF7" w14:textId="77777777" w:rsidR="00C8592D" w:rsidRPr="00DA0EE6" w:rsidRDefault="00C8592D" w:rsidP="00167819">
      <w:pPr>
        <w:adjustRightInd w:val="0"/>
        <w:snapToGrid w:val="0"/>
        <w:spacing w:after="0" w:line="240" w:lineRule="auto"/>
        <w:rPr>
          <w:rFonts w:cstheme="minorHAnsi"/>
        </w:rPr>
      </w:pPr>
    </w:p>
    <w:p w14:paraId="031B8CF3" w14:textId="77777777" w:rsidR="00C8592D" w:rsidRPr="00DA0EE6" w:rsidRDefault="00C8592D" w:rsidP="00167819">
      <w:pPr>
        <w:adjustRightInd w:val="0"/>
        <w:snapToGrid w:val="0"/>
        <w:spacing w:after="0" w:line="240" w:lineRule="auto"/>
        <w:rPr>
          <w:rFonts w:cstheme="minorHAnsi"/>
        </w:rPr>
      </w:pPr>
      <w:r w:rsidRPr="00DA0EE6">
        <w:rPr>
          <w:rFonts w:cstheme="minorHAnsi"/>
        </w:rPr>
        <w:t xml:space="preserve">SC14-SA-WP-13 Progress on yellowfin tuna age and growth in the WCPO WCPFC Project 82. </w:t>
      </w:r>
      <w:hyperlink r:id="rId60" w:history="1">
        <w:r w:rsidRPr="00DA0EE6">
          <w:rPr>
            <w:rStyle w:val="Hyperlink"/>
            <w:rFonts w:cstheme="minorHAnsi"/>
          </w:rPr>
          <w:t>https://www.wcpfc.int/node/31097</w:t>
        </w:r>
      </w:hyperlink>
      <w:r w:rsidRPr="00DA0EE6">
        <w:rPr>
          <w:rFonts w:cstheme="minorHAnsi"/>
        </w:rPr>
        <w:t xml:space="preserve"> </w:t>
      </w:r>
    </w:p>
    <w:p w14:paraId="52FB07FD" w14:textId="77777777" w:rsidR="00C8592D" w:rsidRPr="00DA0EE6" w:rsidRDefault="00C8592D" w:rsidP="00167819">
      <w:pPr>
        <w:adjustRightInd w:val="0"/>
        <w:snapToGrid w:val="0"/>
        <w:spacing w:after="0" w:line="240" w:lineRule="auto"/>
        <w:rPr>
          <w:rFonts w:cstheme="minorHAnsi"/>
        </w:rPr>
      </w:pPr>
    </w:p>
    <w:p w14:paraId="5DEC9F8C" w14:textId="5F5E30AD" w:rsidR="00881545" w:rsidRPr="00DA0EE6" w:rsidRDefault="00881545" w:rsidP="00167819">
      <w:pPr>
        <w:adjustRightInd w:val="0"/>
        <w:snapToGrid w:val="0"/>
        <w:spacing w:after="0" w:line="240" w:lineRule="auto"/>
        <w:rPr>
          <w:rStyle w:val="Hyperlink"/>
          <w:rFonts w:cstheme="minorHAnsi"/>
        </w:rPr>
      </w:pPr>
      <w:r w:rsidRPr="00DA0EE6">
        <w:rPr>
          <w:rFonts w:cstheme="minorHAnsi"/>
        </w:rPr>
        <w:t xml:space="preserve">SC13-SA-WP-06 Stock assessment of yellowfin tuna in the western and central Pacific Ocean Rev 1 (26 July 2017). </w:t>
      </w:r>
      <w:hyperlink r:id="rId61" w:history="1">
        <w:r w:rsidRPr="00DA0EE6">
          <w:rPr>
            <w:rStyle w:val="Hyperlink"/>
            <w:rFonts w:cstheme="minorHAnsi"/>
          </w:rPr>
          <w:t>https://www.wcpfc.int/node/29519</w:t>
        </w:r>
      </w:hyperlink>
    </w:p>
    <w:p w14:paraId="3B7E36C3" w14:textId="77777777" w:rsidR="00881545" w:rsidRPr="00DA0EE6" w:rsidRDefault="00881545" w:rsidP="00167819">
      <w:pPr>
        <w:adjustRightInd w:val="0"/>
        <w:snapToGrid w:val="0"/>
        <w:spacing w:after="0" w:line="240" w:lineRule="auto"/>
        <w:rPr>
          <w:rFonts w:cstheme="minorHAnsi"/>
        </w:rPr>
      </w:pPr>
    </w:p>
    <w:p w14:paraId="0AD01FBA" w14:textId="30198413" w:rsidR="008D68A5" w:rsidRPr="00DA0EE6" w:rsidRDefault="008D68A5" w:rsidP="00167819">
      <w:pPr>
        <w:adjustRightInd w:val="0"/>
        <w:snapToGrid w:val="0"/>
        <w:spacing w:after="0" w:line="240" w:lineRule="auto"/>
        <w:rPr>
          <w:rFonts w:cstheme="minorHAnsi"/>
        </w:rPr>
      </w:pPr>
      <w:r w:rsidRPr="00DA0EE6">
        <w:rPr>
          <w:rFonts w:cstheme="minorHAnsi"/>
        </w:rPr>
        <w:t xml:space="preserve">SC10-SA-WP-04 Stock assessment of yellowfin tuna in the western and central Pacific Ocean Rev 1 (25 July 2014) </w:t>
      </w:r>
      <w:hyperlink r:id="rId62" w:history="1">
        <w:r w:rsidRPr="00DA0EE6">
          <w:rPr>
            <w:rStyle w:val="Hyperlink"/>
            <w:rFonts w:cstheme="minorHAnsi"/>
          </w:rPr>
          <w:t>https://wcpfc.int/node/18997</w:t>
        </w:r>
      </w:hyperlink>
      <w:r w:rsidRPr="00DA0EE6">
        <w:rPr>
          <w:rFonts w:cstheme="minorHAnsi"/>
        </w:rPr>
        <w:t xml:space="preserve"> </w:t>
      </w:r>
    </w:p>
    <w:p w14:paraId="6D5DCD0D" w14:textId="77777777" w:rsidR="008D68A5" w:rsidRPr="00DA0EE6" w:rsidRDefault="008D68A5" w:rsidP="00167819">
      <w:pPr>
        <w:adjustRightInd w:val="0"/>
        <w:snapToGrid w:val="0"/>
        <w:spacing w:after="0" w:line="240" w:lineRule="auto"/>
        <w:rPr>
          <w:rFonts w:cstheme="minorHAnsi"/>
        </w:rPr>
      </w:pPr>
    </w:p>
    <w:p w14:paraId="42906B8D" w14:textId="77777777" w:rsidR="008D68A5" w:rsidRPr="00DA0EE6" w:rsidRDefault="00FA0B69" w:rsidP="00167819">
      <w:pPr>
        <w:adjustRightInd w:val="0"/>
        <w:snapToGrid w:val="0"/>
        <w:spacing w:after="0" w:line="240" w:lineRule="auto"/>
        <w:rPr>
          <w:rFonts w:cstheme="minorHAnsi"/>
        </w:rPr>
      </w:pPr>
      <w:r w:rsidRPr="00DA0EE6">
        <w:rPr>
          <w:rFonts w:cstheme="minorHAnsi"/>
        </w:rPr>
        <w:t xml:space="preserve">SC7-SA-WP-03 Stock assessment of yellowfin tuna in the western and central Pacific Ocean (Rev.1 - 03August2011). </w:t>
      </w:r>
      <w:hyperlink r:id="rId63" w:history="1">
        <w:r w:rsidRPr="00DA0EE6">
          <w:rPr>
            <w:rStyle w:val="Hyperlink"/>
            <w:rFonts w:cstheme="minorHAnsi"/>
          </w:rPr>
          <w:t>https://wcpfc.int/node/2786</w:t>
        </w:r>
      </w:hyperlink>
      <w:r w:rsidRPr="00DA0EE6">
        <w:rPr>
          <w:rFonts w:cstheme="minorHAnsi"/>
        </w:rPr>
        <w:t xml:space="preserve"> </w:t>
      </w:r>
    </w:p>
    <w:p w14:paraId="397AD591" w14:textId="77777777" w:rsidR="0053386B" w:rsidRPr="00DA0EE6" w:rsidRDefault="0053386B" w:rsidP="00167819">
      <w:pPr>
        <w:adjustRightInd w:val="0"/>
        <w:snapToGrid w:val="0"/>
        <w:spacing w:after="0" w:line="240" w:lineRule="auto"/>
        <w:rPr>
          <w:rFonts w:cstheme="minorHAnsi"/>
        </w:rPr>
      </w:pPr>
    </w:p>
    <w:p w14:paraId="385FF13F" w14:textId="77777777" w:rsidR="0053386B" w:rsidRPr="00DA0EE6" w:rsidRDefault="0053386B" w:rsidP="00167819">
      <w:pPr>
        <w:adjustRightInd w:val="0"/>
        <w:snapToGrid w:val="0"/>
        <w:spacing w:after="0" w:line="240" w:lineRule="auto"/>
        <w:rPr>
          <w:rFonts w:cstheme="minorHAnsi"/>
        </w:rPr>
      </w:pPr>
      <w:r w:rsidRPr="00DA0EE6">
        <w:rPr>
          <w:rFonts w:cstheme="minorHAnsi"/>
        </w:rPr>
        <w:t xml:space="preserve">SC5-SA-WP-03 Stock assessment of yellowfin tuna in the western and central Pacific Ocean. </w:t>
      </w:r>
      <w:hyperlink r:id="rId64" w:history="1">
        <w:r w:rsidRPr="00DA0EE6">
          <w:rPr>
            <w:rStyle w:val="Hyperlink"/>
            <w:rFonts w:cstheme="minorHAnsi"/>
          </w:rPr>
          <w:t>https://wcpfc.int/node/2175</w:t>
        </w:r>
      </w:hyperlink>
      <w:r w:rsidRPr="00DA0EE6">
        <w:rPr>
          <w:rFonts w:cstheme="minorHAnsi"/>
        </w:rPr>
        <w:t xml:space="preserve"> </w:t>
      </w:r>
    </w:p>
    <w:p w14:paraId="53B6C1FF" w14:textId="77777777" w:rsidR="005B4A59" w:rsidRPr="00DA0EE6" w:rsidRDefault="005B4A59" w:rsidP="00167819">
      <w:pPr>
        <w:adjustRightInd w:val="0"/>
        <w:snapToGrid w:val="0"/>
        <w:spacing w:after="0" w:line="240" w:lineRule="auto"/>
        <w:rPr>
          <w:rFonts w:cstheme="minorHAnsi"/>
        </w:rPr>
      </w:pPr>
    </w:p>
    <w:p w14:paraId="253D31C0" w14:textId="77777777" w:rsidR="005B4A59" w:rsidRPr="00DA0EE6" w:rsidRDefault="005B4A59" w:rsidP="00167819">
      <w:pPr>
        <w:adjustRightInd w:val="0"/>
        <w:snapToGrid w:val="0"/>
        <w:spacing w:after="0" w:line="240" w:lineRule="auto"/>
        <w:rPr>
          <w:rFonts w:cstheme="minorHAnsi"/>
        </w:rPr>
      </w:pPr>
      <w:r w:rsidRPr="00DA0EE6">
        <w:rPr>
          <w:rFonts w:cstheme="minorHAnsi"/>
        </w:rPr>
        <w:t xml:space="preserve">SC3-SA-WP-01 Stock assessment of yellowfin tuna in the western and central Pacific Ocean, including an analysis of management options. </w:t>
      </w:r>
      <w:hyperlink r:id="rId65" w:history="1">
        <w:r w:rsidRPr="00DA0EE6">
          <w:rPr>
            <w:rStyle w:val="Hyperlink"/>
            <w:rFonts w:cstheme="minorHAnsi"/>
          </w:rPr>
          <w:t>https://wcpfc.int/node/1649</w:t>
        </w:r>
      </w:hyperlink>
      <w:r w:rsidRPr="00DA0EE6">
        <w:rPr>
          <w:rFonts w:cstheme="minorHAnsi"/>
        </w:rPr>
        <w:t xml:space="preserve"> </w:t>
      </w:r>
    </w:p>
    <w:p w14:paraId="37AA4B9F" w14:textId="77777777" w:rsidR="00990636" w:rsidRPr="00DA0EE6" w:rsidRDefault="00990636" w:rsidP="00167819">
      <w:pPr>
        <w:adjustRightInd w:val="0"/>
        <w:snapToGrid w:val="0"/>
        <w:spacing w:after="0" w:line="240" w:lineRule="auto"/>
        <w:rPr>
          <w:rFonts w:cstheme="minorHAnsi"/>
        </w:rPr>
      </w:pPr>
    </w:p>
    <w:p w14:paraId="1B23E76F" w14:textId="77777777" w:rsidR="00990636" w:rsidRPr="00DA0EE6" w:rsidRDefault="00990636" w:rsidP="00167819">
      <w:pPr>
        <w:adjustRightInd w:val="0"/>
        <w:snapToGrid w:val="0"/>
        <w:spacing w:after="0" w:line="240" w:lineRule="auto"/>
        <w:rPr>
          <w:rFonts w:cstheme="minorHAnsi"/>
        </w:rPr>
      </w:pPr>
      <w:r w:rsidRPr="00DA0EE6">
        <w:rPr>
          <w:rFonts w:cstheme="minorHAnsi"/>
        </w:rPr>
        <w:t xml:space="preserve">SC2-SA-WP-01 Stock assessment of yellowfin tuna in the western and central Pacific Ocean, including an analysis of management options. </w:t>
      </w:r>
      <w:hyperlink r:id="rId66" w:history="1">
        <w:r w:rsidRPr="00DA0EE6">
          <w:rPr>
            <w:rStyle w:val="Hyperlink"/>
            <w:rFonts w:cstheme="minorHAnsi"/>
          </w:rPr>
          <w:t>https://wcpfc.int/node/1746</w:t>
        </w:r>
      </w:hyperlink>
      <w:r w:rsidRPr="00DA0EE6">
        <w:rPr>
          <w:rFonts w:cstheme="minorHAnsi"/>
        </w:rPr>
        <w:t xml:space="preserve"> </w:t>
      </w:r>
    </w:p>
    <w:p w14:paraId="4B724A8A" w14:textId="77777777" w:rsidR="008D172D" w:rsidRPr="00DA0EE6" w:rsidRDefault="008D172D" w:rsidP="00167819">
      <w:pPr>
        <w:adjustRightInd w:val="0"/>
        <w:snapToGrid w:val="0"/>
        <w:spacing w:after="0" w:line="240" w:lineRule="auto"/>
        <w:rPr>
          <w:rFonts w:cstheme="minorHAnsi"/>
        </w:rPr>
      </w:pPr>
    </w:p>
    <w:p w14:paraId="7AA27954" w14:textId="77777777" w:rsidR="008D172D" w:rsidRPr="00DA0EE6" w:rsidRDefault="008D172D" w:rsidP="00167819">
      <w:pPr>
        <w:adjustRightInd w:val="0"/>
        <w:snapToGrid w:val="0"/>
        <w:spacing w:after="0" w:line="240" w:lineRule="auto"/>
        <w:rPr>
          <w:rFonts w:cstheme="minorHAnsi"/>
        </w:rPr>
      </w:pPr>
      <w:r w:rsidRPr="00DA0EE6">
        <w:rPr>
          <w:rFonts w:cstheme="minorHAnsi"/>
        </w:rPr>
        <w:t xml:space="preserve">SC1-SA-WP-01 Stock assessment of yellowfin tuna in the Western and Central Pacific Ocean. </w:t>
      </w:r>
      <w:hyperlink r:id="rId67" w:history="1">
        <w:r w:rsidRPr="00DA0EE6">
          <w:rPr>
            <w:rStyle w:val="Hyperlink"/>
            <w:rFonts w:cstheme="minorHAnsi"/>
          </w:rPr>
          <w:t>https://wcpfc.int/node/1881</w:t>
        </w:r>
      </w:hyperlink>
      <w:r w:rsidRPr="00DA0EE6">
        <w:rPr>
          <w:rFonts w:cstheme="minorHAnsi"/>
        </w:rPr>
        <w:t xml:space="preserve"> </w:t>
      </w:r>
    </w:p>
    <w:p w14:paraId="43C0620A" w14:textId="77777777" w:rsidR="008D68A5" w:rsidRPr="00DA0EE6" w:rsidRDefault="008D68A5" w:rsidP="00167819">
      <w:pPr>
        <w:adjustRightInd w:val="0"/>
        <w:snapToGrid w:val="0"/>
        <w:spacing w:after="0" w:line="240" w:lineRule="auto"/>
        <w:rPr>
          <w:rFonts w:cstheme="minorHAnsi"/>
        </w:rPr>
      </w:pPr>
    </w:p>
    <w:sectPr w:rsidR="008D68A5" w:rsidRPr="00DA0EE6" w:rsidSect="00E3363C">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2C909" w14:textId="77777777" w:rsidR="00E3363C" w:rsidRDefault="00E3363C" w:rsidP="005C2B8D">
      <w:pPr>
        <w:spacing w:after="0" w:line="240" w:lineRule="auto"/>
      </w:pPr>
      <w:r>
        <w:separator/>
      </w:r>
    </w:p>
  </w:endnote>
  <w:endnote w:type="continuationSeparator" w:id="0">
    <w:p w14:paraId="3CDAAAE8" w14:textId="77777777" w:rsidR="00E3363C" w:rsidRDefault="00E3363C"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MR10">
    <w:altName w:val="Cambria"/>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78119"/>
      <w:docPartObj>
        <w:docPartGallery w:val="Page Numbers (Bottom of Page)"/>
        <w:docPartUnique/>
      </w:docPartObj>
    </w:sdtPr>
    <w:sdtEndPr>
      <w:rPr>
        <w:noProof/>
      </w:rPr>
    </w:sdtEndPr>
    <w:sdtContent>
      <w:p w14:paraId="7E338187" w14:textId="77777777" w:rsidR="00DA0EE6" w:rsidRDefault="00DA0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FD1B78" w14:textId="77777777" w:rsidR="00DA0EE6" w:rsidRDefault="00DA0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663040"/>
      <w:docPartObj>
        <w:docPartGallery w:val="Page Numbers (Bottom of Page)"/>
        <w:docPartUnique/>
      </w:docPartObj>
    </w:sdtPr>
    <w:sdtEndPr>
      <w:rPr>
        <w:noProof/>
      </w:rPr>
    </w:sdtEndPr>
    <w:sdtContent>
      <w:p w14:paraId="6B528175" w14:textId="77777777" w:rsidR="009C236C" w:rsidRDefault="009C2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3D6781" w14:textId="77777777" w:rsidR="009C236C" w:rsidRDefault="009C2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BA174" w14:textId="77777777" w:rsidR="00E3363C" w:rsidRDefault="00E3363C" w:rsidP="005C2B8D">
      <w:pPr>
        <w:spacing w:after="0" w:line="240" w:lineRule="auto"/>
      </w:pPr>
      <w:r>
        <w:separator/>
      </w:r>
    </w:p>
  </w:footnote>
  <w:footnote w:type="continuationSeparator" w:id="0">
    <w:p w14:paraId="7CB078AF" w14:textId="77777777" w:rsidR="00E3363C" w:rsidRDefault="00E3363C"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E1B8C"/>
    <w:multiLevelType w:val="hybridMultilevel"/>
    <w:tmpl w:val="743A639E"/>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C21F2B"/>
    <w:multiLevelType w:val="hybridMultilevel"/>
    <w:tmpl w:val="B6C8A082"/>
    <w:lvl w:ilvl="0" w:tplc="98C8B988">
      <w:start w:val="1"/>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1A71959"/>
    <w:multiLevelType w:val="hybridMultilevel"/>
    <w:tmpl w:val="32DA25B4"/>
    <w:lvl w:ilvl="0" w:tplc="7D7A123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D02AA"/>
    <w:multiLevelType w:val="hybridMultilevel"/>
    <w:tmpl w:val="95CAD2CC"/>
    <w:lvl w:ilvl="0" w:tplc="FFFFFFFF">
      <w:start w:val="1"/>
      <w:numFmt w:val="decimal"/>
      <w:lvlText w:val="%1."/>
      <w:lvlJc w:val="left"/>
      <w:pPr>
        <w:ind w:left="1080" w:hanging="360"/>
      </w:pPr>
      <w:rPr>
        <w:rFonts w:hint="default"/>
        <w:b w:val="0"/>
        <w:i w:val="0"/>
      </w:rPr>
    </w:lvl>
    <w:lvl w:ilvl="1" w:tplc="1A929752">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4084961"/>
    <w:multiLevelType w:val="hybridMultilevel"/>
    <w:tmpl w:val="8228AF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9F4D5D"/>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9250E"/>
    <w:multiLevelType w:val="hybridMultilevel"/>
    <w:tmpl w:val="4C1E8BF2"/>
    <w:lvl w:ilvl="0" w:tplc="C1321F98">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8362155"/>
    <w:multiLevelType w:val="hybridMultilevel"/>
    <w:tmpl w:val="C1EAD606"/>
    <w:lvl w:ilvl="0" w:tplc="33A23324">
      <w:start w:val="1"/>
      <w:numFmt w:val="decimal"/>
      <w:lvlText w:val="%1."/>
      <w:lvlJc w:val="lef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6D78E8"/>
    <w:multiLevelType w:val="hybridMultilevel"/>
    <w:tmpl w:val="D5A48B8C"/>
    <w:lvl w:ilvl="0" w:tplc="5F64F0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934E3"/>
    <w:multiLevelType w:val="hybridMultilevel"/>
    <w:tmpl w:val="793A0904"/>
    <w:lvl w:ilvl="0" w:tplc="5F64F0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6825332"/>
    <w:multiLevelType w:val="hybridMultilevel"/>
    <w:tmpl w:val="DB7CC87A"/>
    <w:lvl w:ilvl="0" w:tplc="BF64E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31024"/>
    <w:multiLevelType w:val="hybridMultilevel"/>
    <w:tmpl w:val="0692592A"/>
    <w:lvl w:ilvl="0" w:tplc="C400D1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43F0AA78">
      <w:start w:val="1"/>
      <w:numFmt w:val="lowerRoman"/>
      <w:lvlText w:val="(%5)"/>
      <w:lvlJc w:val="left"/>
      <w:pPr>
        <w:ind w:left="4320" w:hanging="720"/>
      </w:pPr>
      <w:rPr>
        <w:rFonts w:hint="default"/>
      </w:rPr>
    </w:lvl>
    <w:lvl w:ilvl="5" w:tplc="0B702994">
      <w:start w:val="3"/>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750BEB"/>
    <w:multiLevelType w:val="hybridMultilevel"/>
    <w:tmpl w:val="0D84D964"/>
    <w:lvl w:ilvl="0" w:tplc="26A04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226082">
    <w:abstractNumId w:val="11"/>
  </w:num>
  <w:num w:numId="2" w16cid:durableId="747313689">
    <w:abstractNumId w:val="6"/>
  </w:num>
  <w:num w:numId="3" w16cid:durableId="1278834992">
    <w:abstractNumId w:val="10"/>
  </w:num>
  <w:num w:numId="4" w16cid:durableId="1087465129">
    <w:abstractNumId w:val="5"/>
  </w:num>
  <w:num w:numId="5" w16cid:durableId="55202832">
    <w:abstractNumId w:val="9"/>
  </w:num>
  <w:num w:numId="6" w16cid:durableId="245843255">
    <w:abstractNumId w:val="14"/>
  </w:num>
  <w:num w:numId="7" w16cid:durableId="2068141819">
    <w:abstractNumId w:val="6"/>
  </w:num>
  <w:num w:numId="8" w16cid:durableId="2082483212">
    <w:abstractNumId w:val="6"/>
  </w:num>
  <w:num w:numId="9" w16cid:durableId="1454595364">
    <w:abstractNumId w:val="6"/>
  </w:num>
  <w:num w:numId="10" w16cid:durableId="717825947">
    <w:abstractNumId w:val="6"/>
  </w:num>
  <w:num w:numId="11" w16cid:durableId="1585795295">
    <w:abstractNumId w:val="6"/>
  </w:num>
  <w:num w:numId="12" w16cid:durableId="2054228214">
    <w:abstractNumId w:val="12"/>
  </w:num>
  <w:num w:numId="13" w16cid:durableId="62265463">
    <w:abstractNumId w:val="8"/>
  </w:num>
  <w:num w:numId="14" w16cid:durableId="421608379">
    <w:abstractNumId w:val="13"/>
  </w:num>
  <w:num w:numId="15" w16cid:durableId="867987448">
    <w:abstractNumId w:val="2"/>
  </w:num>
  <w:num w:numId="16" w16cid:durableId="1839880350">
    <w:abstractNumId w:val="1"/>
  </w:num>
  <w:num w:numId="17" w16cid:durableId="603076487">
    <w:abstractNumId w:val="6"/>
    <w:lvlOverride w:ilvl="0">
      <w:startOverride w:val="1"/>
    </w:lvlOverride>
  </w:num>
  <w:num w:numId="18" w16cid:durableId="1651013327">
    <w:abstractNumId w:val="4"/>
  </w:num>
  <w:num w:numId="19" w16cid:durableId="910458556">
    <w:abstractNumId w:val="0"/>
  </w:num>
  <w:num w:numId="20" w16cid:durableId="1753041569">
    <w:abstractNumId w:val="3"/>
  </w:num>
  <w:num w:numId="21" w16cid:durableId="1025254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69F2"/>
    <w:rsid w:val="0002427F"/>
    <w:rsid w:val="00077441"/>
    <w:rsid w:val="00091B95"/>
    <w:rsid w:val="000B35A6"/>
    <w:rsid w:val="000C0863"/>
    <w:rsid w:val="000F33FB"/>
    <w:rsid w:val="00105696"/>
    <w:rsid w:val="0013298F"/>
    <w:rsid w:val="00135EC2"/>
    <w:rsid w:val="00140283"/>
    <w:rsid w:val="00140D64"/>
    <w:rsid w:val="00167819"/>
    <w:rsid w:val="00173F6C"/>
    <w:rsid w:val="00194EBD"/>
    <w:rsid w:val="0024202B"/>
    <w:rsid w:val="00311CC0"/>
    <w:rsid w:val="00312C81"/>
    <w:rsid w:val="0032426C"/>
    <w:rsid w:val="003F01BA"/>
    <w:rsid w:val="00406E9C"/>
    <w:rsid w:val="0041374C"/>
    <w:rsid w:val="004920E1"/>
    <w:rsid w:val="00493657"/>
    <w:rsid w:val="004B05DF"/>
    <w:rsid w:val="004C58D3"/>
    <w:rsid w:val="0053386B"/>
    <w:rsid w:val="005374AB"/>
    <w:rsid w:val="00570E6C"/>
    <w:rsid w:val="005828AD"/>
    <w:rsid w:val="005B4A59"/>
    <w:rsid w:val="005C2B8D"/>
    <w:rsid w:val="006375B6"/>
    <w:rsid w:val="00687FB1"/>
    <w:rsid w:val="0073054D"/>
    <w:rsid w:val="00782108"/>
    <w:rsid w:val="007C0132"/>
    <w:rsid w:val="007D675F"/>
    <w:rsid w:val="007F084A"/>
    <w:rsid w:val="007F19CB"/>
    <w:rsid w:val="00867480"/>
    <w:rsid w:val="00881545"/>
    <w:rsid w:val="008C61EE"/>
    <w:rsid w:val="008D172D"/>
    <w:rsid w:val="008D68A5"/>
    <w:rsid w:val="00990636"/>
    <w:rsid w:val="009C236C"/>
    <w:rsid w:val="00A43F14"/>
    <w:rsid w:val="00AA7885"/>
    <w:rsid w:val="00B33258"/>
    <w:rsid w:val="00BB0827"/>
    <w:rsid w:val="00BC2504"/>
    <w:rsid w:val="00C64AF4"/>
    <w:rsid w:val="00C73552"/>
    <w:rsid w:val="00C8592D"/>
    <w:rsid w:val="00CA3AFC"/>
    <w:rsid w:val="00CC3DC6"/>
    <w:rsid w:val="00CC59BE"/>
    <w:rsid w:val="00CE0519"/>
    <w:rsid w:val="00D03F79"/>
    <w:rsid w:val="00DA0EE6"/>
    <w:rsid w:val="00DA0F75"/>
    <w:rsid w:val="00DD6334"/>
    <w:rsid w:val="00E120FE"/>
    <w:rsid w:val="00E3363C"/>
    <w:rsid w:val="00E33C0B"/>
    <w:rsid w:val="00E52163"/>
    <w:rsid w:val="00E75A5E"/>
    <w:rsid w:val="00ED455D"/>
    <w:rsid w:val="00F463D5"/>
    <w:rsid w:val="00F56124"/>
    <w:rsid w:val="00F977D4"/>
    <w:rsid w:val="00FA0B69"/>
    <w:rsid w:val="00FB657D"/>
    <w:rsid w:val="00FC1F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0AB9A"/>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73054D"/>
    <w:rPr>
      <w:sz w:val="20"/>
      <w:szCs w:val="20"/>
    </w:rPr>
  </w:style>
  <w:style w:type="character" w:styleId="FootnoteReference">
    <w:name w:val="footnote reference"/>
    <w:basedOn w:val="DefaultParagraphFont"/>
    <w:uiPriority w:val="99"/>
    <w:semiHidden/>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570E6C"/>
    <w:pPr>
      <w:numPr>
        <w:numId w:val="2"/>
      </w:numPr>
      <w:snapToGrid w:val="0"/>
      <w:spacing w:after="240" w:line="240" w:lineRule="auto"/>
      <w:jc w:val="both"/>
    </w:pPr>
    <w:rPr>
      <w:rFonts w:ascii="Times New Roman" w:eastAsia="Malgun Gothic" w:hAnsi="Times New Roman" w:cs="Times New Roman"/>
      <w:lang w:val="en-NZ" w:eastAsia="en-NZ"/>
    </w:rPr>
  </w:style>
  <w:style w:type="table" w:customStyle="1" w:styleId="TableGrid1">
    <w:name w:val="Table Grid1"/>
    <w:basedOn w:val="TableNormal"/>
    <w:next w:val="TableGrid"/>
    <w:uiPriority w:val="59"/>
    <w:rsid w:val="00570E6C"/>
    <w:pPr>
      <w:spacing w:after="0" w:line="240" w:lineRule="auto"/>
    </w:pPr>
    <w:rPr>
      <w:rFonts w:ascii="Calibri" w:eastAsia="Times New Roman"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0132"/>
    <w:rPr>
      <w:color w:val="808080"/>
      <w:shd w:val="clear" w:color="auto" w:fill="E6E6E6"/>
    </w:rPr>
  </w:style>
  <w:style w:type="table" w:customStyle="1" w:styleId="TableGrid2">
    <w:name w:val="Table Grid2"/>
    <w:basedOn w:val="TableNormal"/>
    <w:next w:val="TableGrid"/>
    <w:uiPriority w:val="59"/>
    <w:rsid w:val="00140D64"/>
    <w:pPr>
      <w:spacing w:after="0" w:line="240" w:lineRule="auto"/>
    </w:pPr>
    <w:rPr>
      <w:rFonts w:ascii="Calibri" w:eastAsia="Times New Roman"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E52163"/>
    <w:pPr>
      <w:widowControl w:val="0"/>
      <w:autoSpaceDE w:val="0"/>
      <w:autoSpaceDN w:val="0"/>
      <w:spacing w:after="0" w:line="240" w:lineRule="auto"/>
      <w:ind w:left="100"/>
    </w:pPr>
    <w:rPr>
      <w:rFonts w:ascii="Calibri" w:eastAsia="Calibri" w:hAnsi="Calibri" w:cs="Calibri"/>
    </w:rPr>
  </w:style>
  <w:style w:type="character" w:customStyle="1" w:styleId="WCPFCChar">
    <w:name w:val="WCPFC Char"/>
    <w:basedOn w:val="DefaultParagraphFont"/>
    <w:link w:val="WCPFC"/>
    <w:rsid w:val="00E52163"/>
    <w:rPr>
      <w:rFonts w:ascii="Times New Roman" w:eastAsia="Malgun Gothic" w:hAnsi="Times New Roman" w:cs="Times New Roman"/>
      <w:lang w:val="en-NZ" w:eastAsia="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rsid w:val="00E52163"/>
    <w:rPr>
      <w:rFonts w:ascii="Calibri" w:eastAsia="Calibri" w:hAnsi="Calibri" w:cs="Calibri"/>
    </w:rPr>
  </w:style>
  <w:style w:type="paragraph" w:styleId="Header">
    <w:name w:val="header"/>
    <w:basedOn w:val="Normal"/>
    <w:link w:val="HeaderChar"/>
    <w:uiPriority w:val="99"/>
    <w:unhideWhenUsed/>
    <w:rsid w:val="00C85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92D"/>
  </w:style>
  <w:style w:type="paragraph" w:styleId="Footer">
    <w:name w:val="footer"/>
    <w:basedOn w:val="Normal"/>
    <w:link w:val="FooterChar"/>
    <w:uiPriority w:val="99"/>
    <w:unhideWhenUsed/>
    <w:rsid w:val="00C85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92D"/>
  </w:style>
  <w:style w:type="character" w:customStyle="1" w:styleId="fontstyle01">
    <w:name w:val="fontstyle01"/>
    <w:basedOn w:val="DefaultParagraphFont"/>
    <w:rsid w:val="009C236C"/>
    <w:rPr>
      <w:rFonts w:ascii="CMR10" w:hAnsi="CMR10" w:hint="default"/>
      <w:b w:val="0"/>
      <w:bCs w:val="0"/>
      <w:i w:val="0"/>
      <w:iCs w:val="0"/>
      <w:color w:val="008A73"/>
      <w:sz w:val="22"/>
      <w:szCs w:val="22"/>
    </w:rPr>
  </w:style>
  <w:style w:type="paragraph" w:customStyle="1" w:styleId="WCPFCpara">
    <w:name w:val="@WCPFC_para"/>
    <w:basedOn w:val="ListParagraph"/>
    <w:link w:val="WCPFCparaChar"/>
    <w:qFormat/>
    <w:rsid w:val="00DA0EE6"/>
    <w:pPr>
      <w:kinsoku w:val="0"/>
      <w:overflowPunct w:val="0"/>
      <w:adjustRightInd w:val="0"/>
      <w:snapToGrid w:val="0"/>
      <w:spacing w:after="120"/>
      <w:ind w:left="1080" w:hanging="360"/>
      <w:jc w:val="both"/>
    </w:pPr>
    <w:rPr>
      <w:rFonts w:ascii="Times New Roman" w:eastAsia="Times New Roman" w:hAnsi="Times New Roman" w:cs="Times New Roman"/>
      <w:lang w:val="en-GB"/>
    </w:rPr>
  </w:style>
  <w:style w:type="character" w:customStyle="1" w:styleId="WCPFCparaChar">
    <w:name w:val="@WCPFC_para Char"/>
    <w:basedOn w:val="DefaultParagraphFont"/>
    <w:link w:val="WCPFCpara"/>
    <w:rsid w:val="00DA0EE6"/>
    <w:rPr>
      <w:rFonts w:ascii="Times New Roman" w:eastAsia="Times New Roman" w:hAnsi="Times New Roman" w:cs="Times New Roman"/>
      <w:lang w:val="en-GB"/>
    </w:rPr>
  </w:style>
  <w:style w:type="paragraph" w:customStyle="1" w:styleId="WCPFC1LIST">
    <w:name w:val="@WCPFC1 LIST"/>
    <w:basedOn w:val="WCPFCpara"/>
    <w:qFormat/>
    <w:rsid w:val="00DA0EE6"/>
    <w:pPr>
      <w:ind w:left="1440"/>
    </w:pPr>
  </w:style>
  <w:style w:type="character" w:styleId="CommentReference">
    <w:name w:val="annotation reference"/>
    <w:uiPriority w:val="99"/>
    <w:semiHidden/>
    <w:rsid w:val="00DA0E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wcpfc.int/node/2786"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www.wcpfc.int/node/29904" TargetMode="External"/><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www.wcpfc.int/node/46620" TargetMode="External"/><Relationship Id="rId58" Type="http://schemas.openxmlformats.org/officeDocument/2006/relationships/hyperlink" Target="https://www.wcpfc.int/node/43329" TargetMode="External"/><Relationship Id="rId66" Type="http://schemas.openxmlformats.org/officeDocument/2006/relationships/hyperlink" Target="https://wcpfc.int/node/1746" TargetMode="External"/><Relationship Id="rId5" Type="http://schemas.openxmlformats.org/officeDocument/2006/relationships/webSettings" Target="webSettings.xml"/><Relationship Id="rId61" Type="http://schemas.openxmlformats.org/officeDocument/2006/relationships/hyperlink" Target="https://www.wcpfc.int/node/29519"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www.wcpfc.int/node/42928" TargetMode="External"/><Relationship Id="rId64" Type="http://schemas.openxmlformats.org/officeDocument/2006/relationships/hyperlink" Target="https://wcpfc.int/node/2175"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wcpfc.int/node/46609"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wcpfc.int/node/30987" TargetMode="External"/><Relationship Id="rId67" Type="http://schemas.openxmlformats.org/officeDocument/2006/relationships/hyperlink" Target="https://wcpfc.int/node/1881" TargetMode="Externa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hyperlink" Target="https://www.wcpfc.int/node/46620" TargetMode="External"/><Relationship Id="rId62" Type="http://schemas.openxmlformats.org/officeDocument/2006/relationships/hyperlink" Target="https://wcpfc.int/node/18997"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wcpfc.int/node/29904" TargetMode="External"/><Relationship Id="rId49" Type="http://schemas.openxmlformats.org/officeDocument/2006/relationships/image" Target="media/image39.png"/><Relationship Id="rId57" Type="http://schemas.openxmlformats.org/officeDocument/2006/relationships/hyperlink" Target="https://www.wcpfc.int/node/42929"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hyperlink" Target="https://www.wcpfc.int/node/46611" TargetMode="External"/><Relationship Id="rId60" Type="http://schemas.openxmlformats.org/officeDocument/2006/relationships/hyperlink" Target="https://www.wcpfc.int/node/31097" TargetMode="External"/><Relationship Id="rId65" Type="http://schemas.openxmlformats.org/officeDocument/2006/relationships/hyperlink" Target="https://wcpfc.int/node/1649"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6.png"/><Relationship Id="rId50" Type="http://schemas.openxmlformats.org/officeDocument/2006/relationships/hyperlink" Target="https://www.wcpfc.int/node/46609" TargetMode="External"/><Relationship Id="rId55" Type="http://schemas.openxmlformats.org/officeDocument/2006/relationships/hyperlink" Target="https://www.wcpfc.int/node/42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EB759-8578-4C82-9703-1AA92819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6314</Words>
  <Characters>34922</Characters>
  <Application>Microsoft Office Word</Application>
  <DocSecurity>0</DocSecurity>
  <Lines>1115</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WCPFC</cp:lastModifiedBy>
  <cp:revision>4</cp:revision>
  <dcterms:created xsi:type="dcterms:W3CDTF">2024-02-28T23:07:00Z</dcterms:created>
  <dcterms:modified xsi:type="dcterms:W3CDTF">2024-02-28T23:10:00Z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5da87ede1455b9fcfa9b4c43b6c0f3a2e78f95dfaabb4adc373f9341c6501c95</vt:lpwstr>
  </property>
</Properties>
</file>